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F8AF4E">
      <w:pPr>
        <w:keepNext w:val="0"/>
        <w:keepLines w:val="0"/>
        <w:pageBreakBefore w:val="0"/>
        <w:widowControl w:val="0"/>
        <w:kinsoku/>
        <w:wordWrap/>
        <w:overflowPunct/>
        <w:topLinePunct w:val="0"/>
        <w:autoSpaceDE/>
        <w:autoSpaceDN/>
        <w:bidi w:val="0"/>
        <w:adjustRightInd/>
        <w:snapToGrid/>
        <w:spacing w:line="586" w:lineRule="exac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05FDF844">
      <w:pPr>
        <w:keepNext w:val="0"/>
        <w:keepLines w:val="0"/>
        <w:pageBreakBefore w:val="0"/>
        <w:widowControl w:val="0"/>
        <w:kinsoku/>
        <w:wordWrap/>
        <w:overflowPunct/>
        <w:topLinePunct w:val="0"/>
        <w:autoSpaceDE/>
        <w:autoSpaceDN/>
        <w:bidi w:val="0"/>
        <w:adjustRightInd/>
        <w:snapToGrid/>
        <w:spacing w:line="586" w:lineRule="exact"/>
        <w:textAlignment w:val="auto"/>
        <w:rPr>
          <w:rFonts w:hint="eastAsia" w:ascii="黑体" w:hAnsi="黑体" w:eastAsia="黑体" w:cs="黑体"/>
          <w:sz w:val="32"/>
          <w:szCs w:val="32"/>
          <w:lang w:val="en-US" w:eastAsia="zh-CN"/>
        </w:rPr>
      </w:pPr>
    </w:p>
    <w:p w14:paraId="1D447085">
      <w:pPr>
        <w:keepNext w:val="0"/>
        <w:keepLines w:val="0"/>
        <w:pageBreakBefore w:val="0"/>
        <w:widowControl w:val="0"/>
        <w:numPr>
          <w:ilvl w:val="0"/>
          <w:numId w:val="0"/>
        </w:numPr>
        <w:kinsoku/>
        <w:wordWrap/>
        <w:overflowPunct w:val="0"/>
        <w:topLinePunct w:val="0"/>
        <w:autoSpaceDE/>
        <w:autoSpaceDN/>
        <w:bidi w:val="0"/>
        <w:adjustRightInd/>
        <w:snapToGrid/>
        <w:spacing w:after="313" w:afterLines="100" w:line="586" w:lineRule="exact"/>
        <w:jc w:val="center"/>
        <w:textAlignment w:val="baseline"/>
        <w:rPr>
          <w:rFonts w:hint="eastAsia" w:ascii="方正仿宋_GBK" w:hAnsi="方正仿宋_GBK" w:eastAsia="方正仿宋_GBK" w:cs="方正仿宋_GBK"/>
          <w:color w:val="auto"/>
          <w:sz w:val="32"/>
          <w:szCs w:val="32"/>
          <w:lang w:val="en-US" w:eastAsia="zh-CN"/>
        </w:rPr>
      </w:pPr>
      <w:r>
        <w:rPr>
          <w:rFonts w:hint="eastAsia" w:ascii="方正小标宋_GBK" w:hAnsi="方正小标宋_GBK" w:eastAsia="方正小标宋_GBK" w:cs="方正小标宋_GBK"/>
          <w:color w:val="auto"/>
          <w:spacing w:val="0"/>
          <w:sz w:val="44"/>
          <w:szCs w:val="44"/>
          <w:lang w:val="en-US" w:eastAsia="zh-CN"/>
        </w:rPr>
        <w:t>“八桂忠魂 不朽丰碑——纪念中国人民抗日战争暨世界反法西斯战争胜利80周年</w:t>
      </w:r>
      <w:r>
        <w:rPr>
          <w:rFonts w:hint="eastAsia" w:ascii="方正小标宋_GBK" w:hAnsi="方正小标宋_GBK" w:eastAsia="方正小标宋_GBK" w:cs="方正小标宋_GBK"/>
          <w:color w:val="auto"/>
          <w:spacing w:val="0"/>
          <w:sz w:val="44"/>
          <w:szCs w:val="44"/>
          <w:lang w:val="en-US" w:eastAsia="zh-CN"/>
        </w:rPr>
        <w:br w:type="textWrapping"/>
      </w:r>
      <w:r>
        <w:rPr>
          <w:rFonts w:hint="eastAsia" w:ascii="方正小标宋_GBK" w:hAnsi="方正小标宋_GBK" w:eastAsia="方正小标宋_GBK" w:cs="方正小标宋_GBK"/>
          <w:color w:val="auto"/>
          <w:spacing w:val="0"/>
          <w:sz w:val="44"/>
          <w:szCs w:val="44"/>
          <w:lang w:val="en-US" w:eastAsia="zh-CN"/>
        </w:rPr>
        <w:t>烈士事迹展”内容简介</w:t>
      </w:r>
    </w:p>
    <w:p w14:paraId="73582345">
      <w:pPr>
        <w:keepNext w:val="0"/>
        <w:keepLines w:val="0"/>
        <w:pageBreakBefore w:val="0"/>
        <w:widowControl w:val="0"/>
        <w:numPr>
          <w:ilvl w:val="0"/>
          <w:numId w:val="0"/>
        </w:numPr>
        <w:kinsoku/>
        <w:wordWrap/>
        <w:overflowPunct w:val="0"/>
        <w:topLinePunct w:val="0"/>
        <w:autoSpaceDE/>
        <w:autoSpaceDN/>
        <w:bidi w:val="0"/>
        <w:adjustRightInd/>
        <w:snapToGrid/>
        <w:spacing w:line="360" w:lineRule="auto"/>
        <w:ind w:firstLine="640" w:firstLineChars="200"/>
        <w:textAlignment w:val="baseline"/>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一、展览的主要内容</w:t>
      </w:r>
    </w:p>
    <w:p w14:paraId="0A277CC6">
      <w:pPr>
        <w:keepNext w:val="0"/>
        <w:keepLines w:val="0"/>
        <w:pageBreakBefore w:val="0"/>
        <w:widowControl w:val="0"/>
        <w:numPr>
          <w:ilvl w:val="0"/>
          <w:numId w:val="0"/>
        </w:numPr>
        <w:kinsoku/>
        <w:wordWrap/>
        <w:overflowPunct w:val="0"/>
        <w:topLinePunct w:val="0"/>
        <w:autoSpaceDE/>
        <w:autoSpaceDN/>
        <w:bidi w:val="0"/>
        <w:adjustRightInd/>
        <w:snapToGrid/>
        <w:spacing w:line="360" w:lineRule="auto"/>
        <w:ind w:firstLine="640" w:firstLineChars="200"/>
        <w:textAlignment w:val="baseline"/>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本展览的主题为</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八桂忠魂 不朽丰碑——纪念中国人民抗日战争暨世界反法西斯战争胜利80周年烈士事迹展</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是广西纪念中国人民抗日战争暨世界反法西斯战争胜利80周年的重要纪念活动之一。展览深入贯彻落实习近平总书记关于抗日战争的重要论述，重点回顾在中国共产党倡导建立的抗日民族统一战线旗帜下，各党派、各民族、各阶级、各阶层、各团体乃至海外华侨，同仇敌忾、共御外侮的历史，遴选、挖掘80位广西籍或在广西牺牲的外省籍烈士，以烈士遗物、革命文物、史料图片等组合配套展出烈士们的英勇事迹。</w:t>
      </w:r>
    </w:p>
    <w:p w14:paraId="3F5D02FA">
      <w:pPr>
        <w:keepNext w:val="0"/>
        <w:keepLines w:val="0"/>
        <w:pageBreakBefore w:val="0"/>
        <w:widowControl w:val="0"/>
        <w:numPr>
          <w:ilvl w:val="0"/>
          <w:numId w:val="0"/>
        </w:numPr>
        <w:kinsoku/>
        <w:wordWrap/>
        <w:overflowPunct w:val="0"/>
        <w:topLinePunct w:val="0"/>
        <w:autoSpaceDE/>
        <w:autoSpaceDN/>
        <w:bidi w:val="0"/>
        <w:adjustRightInd/>
        <w:snapToGrid/>
        <w:spacing w:line="360" w:lineRule="auto"/>
        <w:ind w:firstLine="640" w:firstLineChars="200"/>
        <w:textAlignment w:val="baseline"/>
        <w:rPr>
          <w:rFonts w:hint="eastAsia" w:ascii="方正仿宋_GBK" w:hAnsi="方正仿宋_GBK" w:eastAsia="方正仿宋_GBK" w:cs="方正仿宋_GBK"/>
          <w:color w:val="auto"/>
          <w:sz w:val="32"/>
          <w:szCs w:val="32"/>
          <w:lang w:val="en-US" w:eastAsia="zh-CN"/>
        </w:rPr>
      </w:pPr>
      <w:r>
        <w:rPr>
          <w:rFonts w:hint="default" w:ascii="Times New Roman" w:hAnsi="Times New Roman" w:eastAsia="仿宋_GB2312" w:cs="Times New Roman"/>
          <w:color w:val="auto"/>
          <w:sz w:val="32"/>
          <w:szCs w:val="32"/>
          <w:lang w:val="en-US" w:eastAsia="zh-CN"/>
        </w:rPr>
        <w:t>展览内容分为五个部分，第一部分</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反顽救亡——参加抗日救亡活动并在桂系反动统治中坚持斗争的烈士</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，主要展示面对国民党顽固派不断掀起的反共浪潮，在</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那马惨案</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桂林七九事件</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等事件中坚持</w:t>
      </w:r>
      <w:bookmarkStart w:id="0" w:name="_GoBack"/>
      <w:bookmarkEnd w:id="0"/>
      <w:r>
        <w:rPr>
          <w:rFonts w:hint="default" w:ascii="Times New Roman" w:hAnsi="Times New Roman" w:eastAsia="仿宋_GB2312" w:cs="Times New Roman"/>
          <w:color w:val="auto"/>
          <w:sz w:val="32"/>
          <w:szCs w:val="32"/>
          <w:lang w:val="en-US" w:eastAsia="zh-CN"/>
        </w:rPr>
        <w:t>斗争、团结抗战牺牲的烈士；第二部分</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浴血奋战——在广西开展敌后抗日游击斗争的烈士</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，主要展示全民族抗战开始后，在桂东北、柳北地区参加抗日游击斗争和参加钦廉四属、桂东南抗日武装起义牺牲的烈士；第三部分</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众志成城——在外省参加敌后抗战的广西籍烈士</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，主要展示投身中国共产党领导的敌后抗日斗争，在外省牺牲的广西籍烈士；第四部分</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烽火同袍——在外省正面战场参加作战的广西籍烈士</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，主要展示国民党军参加淞沪会战、徐州会战、武汉会战、随枣会战等正面战场重要战斗牺牲的广西籍烈士；第五部分</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共赴国难——在广西正面战场参加作战的烈士</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，主要展示在广西正面战场参加昆仑关作战、桂林保卫战等牺牲的烈士。</w:t>
      </w:r>
    </w:p>
    <w:p w14:paraId="35C84800">
      <w:pPr>
        <w:keepNext w:val="0"/>
        <w:keepLines w:val="0"/>
        <w:pageBreakBefore w:val="0"/>
        <w:widowControl w:val="0"/>
        <w:numPr>
          <w:ilvl w:val="0"/>
          <w:numId w:val="0"/>
        </w:numPr>
        <w:kinsoku/>
        <w:wordWrap/>
        <w:overflowPunct w:val="0"/>
        <w:topLinePunct w:val="0"/>
        <w:autoSpaceDE/>
        <w:autoSpaceDN/>
        <w:bidi w:val="0"/>
        <w:adjustRightInd/>
        <w:snapToGrid/>
        <w:spacing w:line="360" w:lineRule="auto"/>
        <w:ind w:firstLine="640" w:firstLineChars="200"/>
        <w:textAlignment w:val="baseline"/>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二、展览大纲编撰基本情况</w:t>
      </w:r>
    </w:p>
    <w:p w14:paraId="76F29C1B">
      <w:pPr>
        <w:keepNext w:val="0"/>
        <w:keepLines w:val="0"/>
        <w:pageBreakBefore w:val="0"/>
        <w:widowControl w:val="0"/>
        <w:kinsoku/>
        <w:wordWrap/>
        <w:overflowPunct w:val="0"/>
        <w:topLinePunct w:val="0"/>
        <w:autoSpaceDE/>
        <w:autoSpaceDN/>
        <w:bidi w:val="0"/>
        <w:adjustRightInd/>
        <w:snapToGrid/>
        <w:spacing w:line="360" w:lineRule="auto"/>
        <w:ind w:firstLine="640" w:firstLineChars="200"/>
        <w:jc w:val="both"/>
        <w:textAlignment w:val="baseline"/>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今年3月起，在自治区党史研究室相关专家指导下，自治区退役军人事务厅组织相关业务骨干开展大纲编撰工作。6月中旬基本完成大纲图文稿的编撰。6月26日组织召开了大纲评审会，邀请了自治区地方志办二级巡视员施均显、自治区党委宣传部宣传教育处处长伍爱春、广西博物馆研究馆员蓝武芳担任大纲评审会专家。经评审会专家集体评审，一致同意原则上通过</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八桂忠魂 不朽丰碑——纪念中国人民抗日战争暨世界反法西斯战争胜利80周年烈士事迹展</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大纲图文稿。评审会后，自治区退役军人事务厅充分研究、吸收评审专家提出的修改意见进行修改完善，并将修改稿呈送评审专家再次审阅，评审专家均对修改稿无异议。8月上旬，自治区退役军人事务厅发函征求联合主办单位自治区党史研究室、自治区机关事务管理局关于展览大纲图文稿、版式稿和讲解词的修改意见</w:t>
      </w:r>
      <w:r>
        <w:rPr>
          <w:rFonts w:hint="default" w:ascii="Times New Roman" w:hAnsi="Times New Roman" w:eastAsia="仿宋_GB2312" w:cs="Times New Roman"/>
          <w:color w:val="auto"/>
          <w:sz w:val="32"/>
          <w:szCs w:val="32"/>
          <w:lang w:val="en" w:eastAsia="zh-CN"/>
        </w:rPr>
        <w:t>,并</w:t>
      </w:r>
      <w:r>
        <w:rPr>
          <w:rFonts w:hint="default" w:ascii="Times New Roman" w:hAnsi="Times New Roman" w:eastAsia="仿宋_GB2312" w:cs="Times New Roman"/>
          <w:color w:val="auto"/>
          <w:sz w:val="32"/>
          <w:szCs w:val="32"/>
          <w:lang w:val="en-US" w:eastAsia="zh-CN"/>
        </w:rPr>
        <w:t>根据所提意见修改完善大纲图文稿后再次呈送自治区党史研究室相关专家审阅，专家表示无异议。主展及巡展的大纲版式稿也根据审定的大纲图文稿进行了相应修改完善。</w:t>
      </w:r>
    </w:p>
    <w:p w14:paraId="6B871507">
      <w:pPr>
        <w:keepNext w:val="0"/>
        <w:keepLines w:val="0"/>
        <w:pageBreakBefore w:val="0"/>
        <w:widowControl w:val="0"/>
        <w:kinsoku/>
        <w:wordWrap/>
        <w:topLinePunct w:val="0"/>
        <w:autoSpaceDE/>
        <w:autoSpaceDN/>
        <w:bidi w:val="0"/>
        <w:adjustRightInd/>
        <w:snapToGrid/>
        <w:spacing w:line="360" w:lineRule="auto"/>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DD9BE6F-BEDD-4A2E-9023-E87EE4E6D6C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E5C3101-F8D7-4F06-AB17-3C87AFED2D6E}"/>
  </w:font>
  <w:font w:name="方正小标宋_GBK">
    <w:panose1 w:val="02000000000000000000"/>
    <w:charset w:val="86"/>
    <w:family w:val="auto"/>
    <w:pitch w:val="default"/>
    <w:sig w:usb0="A00002BF" w:usb1="38CF7CFA" w:usb2="00082016" w:usb3="00000000" w:csb0="00040001" w:csb1="00000000"/>
    <w:embedRegular r:id="rId3" w:fontKey="{FDFE1047-C56E-4430-9DCD-3CA00BA04784}"/>
  </w:font>
  <w:font w:name="方正仿宋_GBK">
    <w:panose1 w:val="02000000000000000000"/>
    <w:charset w:val="86"/>
    <w:family w:val="auto"/>
    <w:pitch w:val="default"/>
    <w:sig w:usb0="A00002BF" w:usb1="38CF7CFA" w:usb2="00082016" w:usb3="00000000" w:csb0="00040001" w:csb1="00000000"/>
    <w:embedRegular r:id="rId4" w:fontKey="{1C4B7C8A-6225-40B1-96FD-B084FD1B4611}"/>
  </w:font>
  <w:font w:name="仿宋_GB2312">
    <w:altName w:val="仿宋"/>
    <w:panose1 w:val="02010609030101010101"/>
    <w:charset w:val="86"/>
    <w:family w:val="auto"/>
    <w:pitch w:val="default"/>
    <w:sig w:usb0="00000000" w:usb1="00000000" w:usb2="00000000" w:usb3="00000000" w:csb0="00040000" w:csb1="00000000"/>
    <w:embedRegular r:id="rId5" w:fontKey="{ADE376D3-27BF-43AC-9043-A7045CFCA9F7}"/>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D5283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1AF14F9D">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1AF14F9D">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2368FD"/>
    <w:rsid w:val="0199142D"/>
    <w:rsid w:val="2B2368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16</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2025-09-05T07:56:00Z</dcterms:created>
  <dc:creator>18276691566</dc:creator>
  <cp:lastModifiedBy>18276691566</cp:lastModifiedBy>
  <cp:lastPrinted>2025-09-05T08:39:32Z</cp:lastPrinted>
  <dcterms:modified xsi:type="dcterms:W3CDTF">2025-09-05T08:40:44Z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E5D7BBC99442435DB09E9F013F32211C_11</vt:lpwstr>
  </property>
  <property fmtid="{D5CDD505-2E9C-101B-9397-08002B2CF9AE}" pid="4" name="KSOTemplateDocerSaveRecord">
    <vt:lpwstr>eyJoZGlkIjoiMzllNzBlM2Q0ZTA2NjQ4M2EwZjEyNGEyMDVmZTYxMjIiLCJ1c2VySWQiOiI2OTQxNzgyOTgifQ==</vt:lpwstr>
  </property>
</Properties>
</file>