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line="432" w:lineRule="auto"/>
        <w:jc w:val="center"/>
        <w:rPr>
          <w:rFonts w:hint="eastAsia" w:ascii="微软雅黑" w:hAnsi="微软雅黑" w:eastAsia="微软雅黑" w:cs="微软雅黑"/>
          <w:b/>
          <w:color w:val="333333"/>
          <w:kern w:val="0"/>
          <w:sz w:val="30"/>
          <w:szCs w:val="30"/>
          <w:lang w:val="en-US" w:eastAsia="zh-CN" w:bidi="ar"/>
        </w:rPr>
      </w:pPr>
      <w:r>
        <w:rPr>
          <w:rFonts w:hint="eastAsia" w:ascii="微软雅黑" w:hAnsi="微软雅黑" w:eastAsia="微软雅黑" w:cs="微软雅黑"/>
          <w:b/>
          <w:color w:val="333333"/>
          <w:kern w:val="0"/>
          <w:sz w:val="30"/>
          <w:szCs w:val="30"/>
          <w:lang w:val="en-US" w:eastAsia="zh-CN" w:bidi="ar"/>
        </w:rPr>
        <w:t>通识教育讲座第191</w:t>
      </w:r>
      <w:bookmarkStart w:id="0" w:name="_GoBack"/>
      <w:bookmarkEnd w:id="0"/>
      <w:r>
        <w:rPr>
          <w:rFonts w:hint="eastAsia" w:ascii="微软雅黑" w:hAnsi="微软雅黑" w:eastAsia="微软雅黑" w:cs="微软雅黑"/>
          <w:b/>
          <w:color w:val="333333"/>
          <w:kern w:val="0"/>
          <w:sz w:val="30"/>
          <w:szCs w:val="30"/>
          <w:lang w:val="en-US" w:eastAsia="zh-CN" w:bidi="ar"/>
        </w:rPr>
        <w:t>讲：大学生需要知道的逻辑谬误</w:t>
      </w:r>
    </w:p>
    <w:p>
      <w:pPr>
        <w:pStyle w:val="6"/>
        <w:widowControl/>
        <w:spacing w:beforeAutospacing="0" w:afterAutospacing="0" w:line="432" w:lineRule="auto"/>
        <w:jc w:val="both"/>
        <w:rPr>
          <w:rStyle w:val="9"/>
          <w:rFonts w:hint="eastAsia" w:asciiTheme="minorEastAsia" w:hAnsiTheme="minorEastAsia" w:eastAsiaTheme="minorEastAsia" w:cstheme="minorEastAsia"/>
          <w:b w:val="0"/>
          <w:bCs/>
          <w:color w:val="000000" w:themeColor="text1"/>
          <w:sz w:val="24"/>
          <w:szCs w:val="24"/>
        </w:rPr>
      </w:pPr>
      <w:r>
        <w:rPr>
          <w:rStyle w:val="9"/>
          <w:rFonts w:hint="default" w:ascii="宋体" w:hAnsi="宋体" w:eastAsia="宋体" w:cs="宋体"/>
          <w:color w:val="000000" w:themeColor="text1"/>
        </w:rPr>
        <w:t>主  题：</w:t>
      </w:r>
      <w:r>
        <w:rPr>
          <w:rFonts w:hint="eastAsia" w:ascii="宋体" w:hAnsi="宋体" w:eastAsia="宋体"/>
          <w:sz w:val="24"/>
        </w:rPr>
        <w:t>大学生需要知道的</w:t>
      </w:r>
      <w:r>
        <w:rPr>
          <w:rFonts w:ascii="宋体" w:hAnsi="宋体" w:eastAsia="宋体"/>
          <w:sz w:val="24"/>
        </w:rPr>
        <w:t>逻辑谬误</w:t>
      </w:r>
    </w:p>
    <w:p>
      <w:pPr>
        <w:pStyle w:val="6"/>
        <w:keepNext w:val="0"/>
        <w:keepLines w:val="0"/>
        <w:widowControl/>
        <w:suppressLineNumbers w:val="0"/>
        <w:spacing w:line="432" w:lineRule="auto"/>
        <w:jc w:val="both"/>
        <w:rPr>
          <w:rFonts w:hint="default" w:ascii="宋体" w:hAnsi="宋体" w:eastAsia="宋体"/>
          <w:color w:val="auto"/>
          <w:sz w:val="24"/>
          <w:szCs w:val="24"/>
          <w:lang w:val="en-US" w:eastAsia="zh-CN"/>
        </w:rPr>
      </w:pPr>
      <w:r>
        <w:rPr>
          <w:rStyle w:val="9"/>
          <w:rFonts w:hint="default" w:ascii="宋体" w:hAnsi="宋体" w:eastAsia="宋体" w:cs="宋体"/>
          <w:color w:val="000000" w:themeColor="text1"/>
        </w:rPr>
        <w:t>主讲人：</w:t>
      </w:r>
      <w:r>
        <w:rPr>
          <w:rFonts w:ascii="宋体" w:hAnsi="宋体" w:eastAsia="宋体"/>
          <w:sz w:val="24"/>
        </w:rPr>
        <w:t>徐乐乐</w:t>
      </w:r>
      <w:r>
        <w:rPr>
          <w:rFonts w:hint="eastAsia" w:ascii="宋体" w:hAnsi="宋体" w:eastAsia="宋体"/>
          <w:sz w:val="24"/>
          <w:lang w:val="en-US" w:eastAsia="zh-CN"/>
        </w:rPr>
        <w:t xml:space="preserve"> 副教授</w:t>
      </w:r>
    </w:p>
    <w:p>
      <w:pPr>
        <w:pStyle w:val="6"/>
        <w:keepNext w:val="0"/>
        <w:keepLines w:val="0"/>
        <w:widowControl/>
        <w:suppressLineNumbers w:val="0"/>
        <w:spacing w:line="432" w:lineRule="auto"/>
        <w:jc w:val="both"/>
        <w:rPr>
          <w:rFonts w:hint="eastAsia" w:ascii="宋体" w:hAnsi="宋体" w:eastAsia="宋体"/>
          <w:sz w:val="24"/>
        </w:rPr>
      </w:pPr>
      <w:r>
        <w:rPr>
          <w:rStyle w:val="9"/>
          <w:rFonts w:hint="default" w:ascii="宋体" w:hAnsi="宋体" w:eastAsia="宋体" w:cs="宋体"/>
          <w:color w:val="000000" w:themeColor="text1"/>
        </w:rPr>
        <w:t>时  间：</w:t>
      </w:r>
      <w:r>
        <w:rPr>
          <w:rFonts w:hint="eastAsia" w:ascii="宋体" w:hAnsi="宋体" w:eastAsia="宋体"/>
          <w:sz w:val="24"/>
        </w:rPr>
        <w:t>20</w:t>
      </w:r>
      <w:r>
        <w:rPr>
          <w:rFonts w:hint="eastAsia" w:ascii="宋体" w:hAnsi="宋体" w:eastAsia="宋体"/>
          <w:sz w:val="24"/>
          <w:lang w:val="en-US" w:eastAsia="zh-CN"/>
        </w:rPr>
        <w:t>21</w:t>
      </w:r>
      <w:r>
        <w:rPr>
          <w:rFonts w:hint="eastAsia" w:ascii="宋体" w:hAnsi="宋体" w:eastAsia="宋体"/>
          <w:sz w:val="24"/>
        </w:rPr>
        <w:t>年</w:t>
      </w:r>
      <w:r>
        <w:rPr>
          <w:rFonts w:hint="eastAsia" w:ascii="宋体" w:hAnsi="宋体" w:eastAsia="宋体"/>
          <w:sz w:val="24"/>
          <w:lang w:val="en-US" w:eastAsia="zh-CN"/>
        </w:rPr>
        <w:t>4</w:t>
      </w:r>
      <w:r>
        <w:rPr>
          <w:rFonts w:hint="eastAsia" w:ascii="宋体" w:hAnsi="宋体" w:eastAsia="宋体"/>
          <w:sz w:val="24"/>
        </w:rPr>
        <w:t>月</w:t>
      </w:r>
      <w:r>
        <w:rPr>
          <w:rFonts w:hint="eastAsia" w:ascii="宋体" w:hAnsi="宋体" w:eastAsia="宋体"/>
          <w:sz w:val="24"/>
          <w:lang w:val="en-US" w:eastAsia="zh-CN"/>
        </w:rPr>
        <w:t>12</w:t>
      </w:r>
      <w:r>
        <w:rPr>
          <w:rFonts w:hint="eastAsia" w:ascii="宋体" w:hAnsi="宋体" w:eastAsia="宋体"/>
          <w:sz w:val="24"/>
        </w:rPr>
        <w:t>日</w:t>
      </w:r>
      <w:r>
        <w:rPr>
          <w:rFonts w:hint="eastAsia" w:ascii="宋体" w:hAnsi="宋体" w:eastAsia="宋体"/>
          <w:sz w:val="24"/>
          <w:lang w:eastAsia="zh-CN"/>
        </w:rPr>
        <w:t>（星期</w:t>
      </w:r>
      <w:r>
        <w:rPr>
          <w:rFonts w:hint="eastAsia" w:ascii="宋体" w:hAnsi="宋体" w:eastAsia="宋体"/>
          <w:sz w:val="24"/>
          <w:lang w:val="en-US" w:eastAsia="zh-CN"/>
        </w:rPr>
        <w:t>一</w:t>
      </w:r>
      <w:r>
        <w:rPr>
          <w:rFonts w:hint="eastAsia" w:ascii="宋体" w:hAnsi="宋体" w:eastAsia="宋体"/>
          <w:sz w:val="24"/>
          <w:lang w:eastAsia="zh-CN"/>
        </w:rPr>
        <w:t>）</w:t>
      </w:r>
      <w:r>
        <w:rPr>
          <w:rFonts w:hint="eastAsia" w:ascii="宋体" w:hAnsi="宋体" w:eastAsia="宋体"/>
          <w:sz w:val="24"/>
          <w:lang w:val="en-US" w:eastAsia="zh-CN"/>
        </w:rPr>
        <w:t xml:space="preserve"> </w:t>
      </w:r>
      <w:r>
        <w:rPr>
          <w:rFonts w:hint="eastAsia" w:ascii="宋体" w:hAnsi="宋体" w:eastAsia="宋体"/>
          <w:sz w:val="24"/>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1.本次讲座形式为钉钉群线上直播。请在“到梦空间”报名成功的同学务必按报名提示扫码加入钉钉直播群。</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2.“到梦空间”的签到码届时会在直播群发放，请同学们按时观看直播。</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4.只有在“到梦空间”上正常参与（报名、签到）大讲坛活动并且单次全程参与直播学习才算完整参与一次大讲坛讲座，后续才可以正常进行第一课堂当中TQ类学分的学分认证。</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hanging="363"/>
        <w:jc w:val="both"/>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i w:val="0"/>
          <w:caps w:val="0"/>
          <w:color w:val="auto"/>
          <w:spacing w:val="8"/>
          <w:sz w:val="24"/>
          <w:szCs w:val="24"/>
          <w:shd w:val="clear"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361815" cy="5400040"/>
            <wp:effectExtent l="0" t="0" r="63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4BCD0E84"/>
    <w:multiLevelType w:val="multilevel"/>
    <w:tmpl w:val="4BCD0E8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2F76FC1"/>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3254981"/>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C4E46F4"/>
    <w:rsid w:val="6E972E55"/>
    <w:rsid w:val="6F980B29"/>
    <w:rsid w:val="748A7500"/>
    <w:rsid w:val="7BA51834"/>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0</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2021-04-08T07:23:05Z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