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A91130">
      <w:pPr>
        <w:keepNext w:val="0"/>
        <w:keepLines w:val="0"/>
        <w:pageBreakBefore w:val="0"/>
        <w:widowControl w:val="0"/>
        <w:kinsoku/>
        <w:wordWrap/>
        <w:overflowPunct/>
        <w:topLinePunct w:val="0"/>
        <w:autoSpaceDE/>
        <w:autoSpaceDN/>
        <w:bidi w:val="0"/>
        <w:adjustRightInd/>
        <w:snapToGrid/>
        <w:spacing w:line="700" w:lineRule="exact"/>
        <w:jc w:val="left"/>
        <w:textAlignment w:val="baseline"/>
        <w:rPr>
          <w:rFonts w:hint="default" w:ascii="黑体" w:hAnsi="黑体" w:eastAsia="黑体"/>
          <w:color w:val="auto"/>
          <w:kern w:val="0"/>
          <w:sz w:val="32"/>
          <w:szCs w:val="32"/>
          <w:lang w:val="en-US" w:eastAsia="zh-CN"/>
        </w:rPr>
      </w:pPr>
      <w:r>
        <w:rPr>
          <w:rFonts w:ascii="黑体" w:hAnsi="黑体" w:eastAsia="黑体"/>
          <w:color w:val="auto"/>
          <w:kern w:val="0"/>
          <w:sz w:val="32"/>
          <w:szCs w:val="32"/>
        </w:rPr>
        <w:t>附件</w:t>
      </w:r>
      <w:r>
        <w:rPr>
          <w:rFonts w:hint="eastAsia" w:ascii="黑体" w:hAnsi="黑体" w:eastAsia="黑体"/>
          <w:color w:val="auto"/>
          <w:kern w:val="0"/>
          <w:sz w:val="32"/>
          <w:szCs w:val="32"/>
          <w:lang w:val="en-US" w:eastAsia="zh-CN"/>
        </w:rPr>
        <w:t>6</w:t>
      </w:r>
      <w:bookmarkStart w:id="0" w:name="_GoBack"/>
      <w:bookmarkEnd w:id="0"/>
    </w:p>
    <w:p w14:paraId="587F2D86">
      <w:pPr>
        <w:keepNext w:val="0"/>
        <w:keepLines w:val="0"/>
        <w:pageBreakBefore w:val="0"/>
        <w:widowControl w:val="0"/>
        <w:kinsoku/>
        <w:wordWrap/>
        <w:overflowPunct/>
        <w:topLinePunct w:val="0"/>
        <w:autoSpaceDE/>
        <w:autoSpaceDN/>
        <w:bidi w:val="0"/>
        <w:adjustRightInd/>
        <w:snapToGrid/>
        <w:spacing w:line="700" w:lineRule="exact"/>
        <w:jc w:val="center"/>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师范类专业认证、工程教育专业认证、本科教育教学审核评估课程设置标准</w:t>
      </w:r>
    </w:p>
    <w:p w14:paraId="147F8A5B">
      <w:pPr>
        <w:spacing w:line="520" w:lineRule="exact"/>
        <w:jc w:val="center"/>
        <w:rPr>
          <w:rFonts w:ascii="华文中宋" w:hAnsi="华文中宋" w:eastAsia="华文中宋"/>
          <w:color w:val="auto"/>
          <w:sz w:val="32"/>
          <w:szCs w:val="32"/>
        </w:rPr>
      </w:pPr>
    </w:p>
    <w:p w14:paraId="0CEE09F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黑体" w:hAnsi="黑体" w:eastAsia="黑体" w:cs="黑体"/>
          <w:b/>
          <w:color w:val="auto"/>
          <w:sz w:val="32"/>
          <w:szCs w:val="32"/>
        </w:rPr>
      </w:pPr>
      <w:r>
        <w:rPr>
          <w:rFonts w:hint="eastAsia" w:ascii="黑体" w:hAnsi="黑体" w:eastAsia="黑体" w:cs="黑体"/>
          <w:b/>
          <w:color w:val="auto"/>
          <w:sz w:val="32"/>
          <w:szCs w:val="32"/>
        </w:rPr>
        <w:t>一、师范类专业认证</w:t>
      </w:r>
    </w:p>
    <w:p w14:paraId="5084D18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仿宋" w:hAnsi="仿宋" w:eastAsia="仿宋"/>
          <w:b/>
          <w:color w:val="auto"/>
          <w:sz w:val="32"/>
          <w:szCs w:val="32"/>
          <w:lang w:val="en-US" w:eastAsia="zh-CN"/>
        </w:rPr>
      </w:pPr>
      <w:r>
        <w:rPr>
          <w:rFonts w:hint="eastAsia" w:ascii="仿宋" w:hAnsi="仿宋" w:eastAsia="仿宋"/>
          <w:b/>
          <w:color w:val="auto"/>
          <w:sz w:val="32"/>
          <w:szCs w:val="32"/>
          <w:lang w:eastAsia="zh-CN"/>
        </w:rPr>
        <w:t>（</w:t>
      </w:r>
      <w:r>
        <w:rPr>
          <w:rFonts w:hint="eastAsia" w:ascii="仿宋" w:hAnsi="仿宋" w:eastAsia="仿宋"/>
          <w:b/>
          <w:color w:val="auto"/>
          <w:sz w:val="32"/>
          <w:szCs w:val="32"/>
          <w:lang w:val="en-US" w:eastAsia="zh-CN"/>
        </w:rPr>
        <w:t>一</w:t>
      </w:r>
      <w:r>
        <w:rPr>
          <w:rFonts w:hint="eastAsia" w:ascii="仿宋" w:hAnsi="仿宋" w:eastAsia="仿宋"/>
          <w:b/>
          <w:color w:val="auto"/>
          <w:sz w:val="32"/>
          <w:szCs w:val="32"/>
          <w:lang w:eastAsia="zh-CN"/>
        </w:rPr>
        <w:t>）</w:t>
      </w:r>
      <w:r>
        <w:rPr>
          <w:rFonts w:hint="eastAsia" w:ascii="仿宋" w:hAnsi="仿宋" w:eastAsia="仿宋"/>
          <w:b/>
          <w:color w:val="auto"/>
          <w:sz w:val="32"/>
          <w:szCs w:val="32"/>
          <w:lang w:val="en-US" w:eastAsia="zh-CN"/>
        </w:rPr>
        <w:t>共性要求</w:t>
      </w:r>
    </w:p>
    <w:p w14:paraId="13A2B6B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b w:val="0"/>
          <w:bCs/>
          <w:color w:val="auto"/>
          <w:sz w:val="32"/>
          <w:szCs w:val="32"/>
          <w:lang w:val="en-US" w:eastAsia="zh-CN"/>
        </w:rPr>
      </w:pPr>
      <w:r>
        <w:rPr>
          <w:rFonts w:hint="eastAsia" w:ascii="仿宋" w:hAnsi="仿宋" w:eastAsia="仿宋"/>
          <w:b w:val="0"/>
          <w:bCs/>
          <w:color w:val="auto"/>
          <w:sz w:val="32"/>
          <w:szCs w:val="32"/>
        </w:rPr>
        <w:t>《中学教育专业认证标准（第二级）》《小学教育专业认证标准（第二级）》《学前教育专业认证标准第二级）》</w:t>
      </w:r>
      <w:r>
        <w:rPr>
          <w:rFonts w:hint="eastAsia" w:ascii="仿宋" w:hAnsi="仿宋" w:eastAsia="仿宋"/>
          <w:b w:val="0"/>
          <w:bCs/>
          <w:color w:val="auto"/>
          <w:sz w:val="32"/>
          <w:szCs w:val="32"/>
          <w:lang w:val="en-US" w:eastAsia="zh-CN"/>
        </w:rPr>
        <w:t>要求</w:t>
      </w:r>
      <w:r>
        <w:rPr>
          <w:rFonts w:hint="eastAsia" w:ascii="仿宋" w:hAnsi="仿宋" w:eastAsia="仿宋"/>
          <w:b w:val="0"/>
          <w:bCs/>
          <w:color w:val="auto"/>
          <w:sz w:val="32"/>
          <w:szCs w:val="32"/>
        </w:rPr>
        <w:t>课程结构体现通识教育、学科专业教育与教师教育有机结合；理论课与实践课、必修课与选修课设置合理。各类课程学分比例恰当，通识教育课程中的人文社会与科学素养课程学分不低于总学分的10%，</w:t>
      </w:r>
      <w:r>
        <w:rPr>
          <w:rFonts w:hint="eastAsia" w:ascii="仿宋" w:hAnsi="仿宋" w:eastAsia="仿宋"/>
          <w:b w:val="0"/>
          <w:bCs/>
          <w:color w:val="auto"/>
          <w:sz w:val="32"/>
          <w:szCs w:val="32"/>
          <w:lang w:val="en-US" w:eastAsia="zh-CN"/>
        </w:rPr>
        <w:t>教育实践课程≥18周。</w:t>
      </w:r>
    </w:p>
    <w:p w14:paraId="61CAEF5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仿宋" w:hAnsi="仿宋" w:eastAsia="仿宋"/>
          <w:b/>
          <w:bCs w:val="0"/>
          <w:color w:val="auto"/>
          <w:sz w:val="32"/>
          <w:szCs w:val="32"/>
          <w:lang w:val="en-US" w:eastAsia="zh-CN"/>
        </w:rPr>
      </w:pPr>
      <w:r>
        <w:rPr>
          <w:rFonts w:hint="eastAsia" w:ascii="仿宋" w:hAnsi="仿宋" w:eastAsia="仿宋"/>
          <w:b/>
          <w:bCs w:val="0"/>
          <w:color w:val="auto"/>
          <w:sz w:val="32"/>
          <w:szCs w:val="32"/>
          <w:lang w:eastAsia="zh-CN"/>
        </w:rPr>
        <w:t>（</w:t>
      </w:r>
      <w:r>
        <w:rPr>
          <w:rFonts w:hint="eastAsia" w:ascii="仿宋" w:hAnsi="仿宋" w:eastAsia="仿宋"/>
          <w:b/>
          <w:bCs w:val="0"/>
          <w:color w:val="auto"/>
          <w:sz w:val="32"/>
          <w:szCs w:val="32"/>
          <w:lang w:val="en-US" w:eastAsia="zh-CN"/>
        </w:rPr>
        <w:t>二</w:t>
      </w:r>
      <w:r>
        <w:rPr>
          <w:rFonts w:hint="eastAsia" w:ascii="仿宋" w:hAnsi="仿宋" w:eastAsia="仿宋"/>
          <w:b/>
          <w:bCs w:val="0"/>
          <w:color w:val="auto"/>
          <w:sz w:val="32"/>
          <w:szCs w:val="32"/>
          <w:lang w:eastAsia="zh-CN"/>
        </w:rPr>
        <w:t>）</w:t>
      </w:r>
      <w:r>
        <w:rPr>
          <w:rFonts w:hint="eastAsia" w:ascii="仿宋" w:hAnsi="仿宋" w:eastAsia="仿宋"/>
          <w:b/>
          <w:bCs w:val="0"/>
          <w:color w:val="auto"/>
          <w:sz w:val="32"/>
          <w:szCs w:val="32"/>
          <w:lang w:val="en-US" w:eastAsia="zh-CN"/>
        </w:rPr>
        <w:t>不同要求</w:t>
      </w:r>
    </w:p>
    <w:p w14:paraId="0379A9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b w:val="0"/>
          <w:bCs/>
          <w:color w:val="auto"/>
          <w:sz w:val="32"/>
          <w:szCs w:val="32"/>
          <w:lang w:eastAsia="zh-CN"/>
        </w:rPr>
      </w:pPr>
      <w:r>
        <w:rPr>
          <w:rFonts w:hint="eastAsia" w:ascii="仿宋" w:hAnsi="仿宋" w:eastAsia="仿宋"/>
          <w:b w:val="0"/>
          <w:bCs/>
          <w:color w:val="auto"/>
          <w:sz w:val="32"/>
          <w:szCs w:val="32"/>
          <w:lang w:val="en-US" w:eastAsia="zh-CN"/>
        </w:rPr>
        <w:t>1.</w:t>
      </w:r>
      <w:r>
        <w:rPr>
          <w:rFonts w:hint="eastAsia" w:ascii="仿宋" w:hAnsi="仿宋" w:eastAsia="仿宋"/>
          <w:b w:val="0"/>
          <w:bCs/>
          <w:color w:val="auto"/>
          <w:sz w:val="32"/>
          <w:szCs w:val="32"/>
        </w:rPr>
        <w:t>《中学教育专业认证标准（第二级）》</w:t>
      </w:r>
      <w:r>
        <w:rPr>
          <w:rFonts w:hint="eastAsia" w:ascii="仿宋" w:hAnsi="仿宋" w:eastAsia="仿宋"/>
          <w:b w:val="0"/>
          <w:bCs/>
          <w:color w:val="auto"/>
          <w:sz w:val="32"/>
          <w:szCs w:val="32"/>
          <w:lang w:val="en-US" w:eastAsia="zh-CN"/>
        </w:rPr>
        <w:t>要求</w:t>
      </w:r>
      <w:r>
        <w:rPr>
          <w:rFonts w:hint="eastAsia" w:ascii="仿宋" w:hAnsi="仿宋" w:eastAsia="仿宋"/>
          <w:b w:val="0"/>
          <w:bCs/>
          <w:color w:val="auto"/>
          <w:sz w:val="32"/>
          <w:szCs w:val="32"/>
        </w:rPr>
        <w:t>学科专业课程学分不低于总学分的50%，</w:t>
      </w:r>
      <w:r>
        <w:rPr>
          <w:rFonts w:hint="eastAsia" w:ascii="仿宋" w:hAnsi="仿宋" w:eastAsia="仿宋"/>
          <w:color w:val="auto"/>
          <w:sz w:val="32"/>
          <w:szCs w:val="32"/>
        </w:rPr>
        <w:t>教师教育课程≥14学</w:t>
      </w:r>
      <w:r>
        <w:rPr>
          <w:rFonts w:hint="eastAsia" w:ascii="仿宋" w:hAnsi="仿宋" w:eastAsia="仿宋"/>
          <w:b w:val="0"/>
          <w:bCs/>
          <w:color w:val="auto"/>
          <w:sz w:val="32"/>
          <w:szCs w:val="32"/>
        </w:rPr>
        <w:t>分</w:t>
      </w:r>
      <w:r>
        <w:rPr>
          <w:rFonts w:hint="eastAsia" w:ascii="仿宋" w:hAnsi="仿宋" w:eastAsia="仿宋"/>
          <w:b w:val="0"/>
          <w:bCs/>
          <w:color w:val="auto"/>
          <w:sz w:val="32"/>
          <w:szCs w:val="32"/>
          <w:lang w:eastAsia="zh-CN"/>
        </w:rPr>
        <w:t>；</w:t>
      </w:r>
    </w:p>
    <w:p w14:paraId="392F3AC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b w:val="0"/>
          <w:bCs/>
          <w:color w:val="auto"/>
          <w:sz w:val="32"/>
          <w:szCs w:val="32"/>
          <w:lang w:eastAsia="zh-CN"/>
        </w:rPr>
      </w:pPr>
      <w:r>
        <w:rPr>
          <w:rFonts w:hint="eastAsia" w:ascii="仿宋" w:hAnsi="仿宋" w:eastAsia="仿宋"/>
          <w:b w:val="0"/>
          <w:bCs/>
          <w:color w:val="auto"/>
          <w:sz w:val="32"/>
          <w:szCs w:val="32"/>
          <w:lang w:val="en-US" w:eastAsia="zh-CN"/>
        </w:rPr>
        <w:t>2.</w:t>
      </w:r>
      <w:r>
        <w:rPr>
          <w:rFonts w:hint="eastAsia" w:ascii="仿宋" w:hAnsi="仿宋" w:eastAsia="仿宋"/>
          <w:b w:val="0"/>
          <w:bCs/>
          <w:color w:val="auto"/>
          <w:sz w:val="32"/>
          <w:szCs w:val="32"/>
        </w:rPr>
        <w:t>《小学教育专业认证标准（第二级）》</w:t>
      </w:r>
      <w:r>
        <w:rPr>
          <w:rFonts w:hint="eastAsia" w:ascii="仿宋" w:hAnsi="仿宋" w:eastAsia="仿宋"/>
          <w:b w:val="0"/>
          <w:bCs/>
          <w:color w:val="auto"/>
          <w:sz w:val="32"/>
          <w:szCs w:val="32"/>
          <w:lang w:val="en-US" w:eastAsia="zh-CN"/>
        </w:rPr>
        <w:t>要求</w:t>
      </w:r>
      <w:r>
        <w:rPr>
          <w:rFonts w:hint="eastAsia" w:ascii="仿宋" w:hAnsi="仿宋" w:eastAsia="仿宋"/>
          <w:b w:val="0"/>
          <w:bCs/>
          <w:color w:val="auto"/>
          <w:sz w:val="32"/>
          <w:szCs w:val="32"/>
        </w:rPr>
        <w:t>学科专业课程学分不低于总学分的35%，教师教育课程≥32学分</w:t>
      </w:r>
      <w:r>
        <w:rPr>
          <w:rFonts w:hint="eastAsia" w:ascii="仿宋" w:hAnsi="仿宋" w:eastAsia="仿宋"/>
          <w:b w:val="0"/>
          <w:bCs/>
          <w:color w:val="auto"/>
          <w:sz w:val="32"/>
          <w:szCs w:val="32"/>
          <w:lang w:eastAsia="zh-CN"/>
        </w:rPr>
        <w:t>；</w:t>
      </w:r>
    </w:p>
    <w:p w14:paraId="6F57E0B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olor w:val="auto"/>
          <w:sz w:val="32"/>
          <w:szCs w:val="32"/>
        </w:rPr>
      </w:pPr>
      <w:r>
        <w:rPr>
          <w:rFonts w:hint="eastAsia" w:ascii="仿宋" w:hAnsi="仿宋" w:eastAsia="仿宋"/>
          <w:b w:val="0"/>
          <w:bCs/>
          <w:color w:val="auto"/>
          <w:sz w:val="32"/>
          <w:szCs w:val="32"/>
          <w:lang w:val="en-US" w:eastAsia="zh-CN"/>
        </w:rPr>
        <w:t>3.</w:t>
      </w:r>
      <w:r>
        <w:rPr>
          <w:rFonts w:hint="eastAsia" w:ascii="仿宋" w:hAnsi="仿宋" w:eastAsia="仿宋"/>
          <w:b w:val="0"/>
          <w:bCs/>
          <w:color w:val="auto"/>
          <w:sz w:val="32"/>
          <w:szCs w:val="32"/>
        </w:rPr>
        <w:t>《学前教育专业认证标准</w:t>
      </w:r>
      <w:r>
        <w:rPr>
          <w:rFonts w:hint="eastAsia" w:ascii="仿宋" w:hAnsi="仿宋" w:eastAsia="仿宋"/>
          <w:b w:val="0"/>
          <w:bCs/>
          <w:color w:val="auto"/>
          <w:sz w:val="32"/>
          <w:szCs w:val="32"/>
          <w:lang w:eastAsia="zh-CN"/>
        </w:rPr>
        <w:t>（</w:t>
      </w:r>
      <w:r>
        <w:rPr>
          <w:rFonts w:hint="eastAsia" w:ascii="仿宋" w:hAnsi="仿宋" w:eastAsia="仿宋"/>
          <w:b w:val="0"/>
          <w:bCs/>
          <w:color w:val="auto"/>
          <w:sz w:val="32"/>
          <w:szCs w:val="32"/>
        </w:rPr>
        <w:t>第二级）》</w:t>
      </w:r>
      <w:r>
        <w:rPr>
          <w:rFonts w:hint="eastAsia" w:ascii="仿宋" w:hAnsi="仿宋" w:eastAsia="仿宋"/>
          <w:b w:val="0"/>
          <w:bCs/>
          <w:color w:val="auto"/>
          <w:sz w:val="32"/>
          <w:szCs w:val="32"/>
          <w:lang w:val="en-US" w:eastAsia="zh-CN"/>
        </w:rPr>
        <w:t>要求</w:t>
      </w:r>
      <w:r>
        <w:rPr>
          <w:rFonts w:hint="eastAsia" w:ascii="仿宋" w:hAnsi="仿宋" w:eastAsia="仿宋"/>
          <w:color w:val="auto"/>
          <w:sz w:val="32"/>
          <w:szCs w:val="32"/>
        </w:rPr>
        <w:t>支撑幼儿园各领域教育的相关课程学分不低于总学分的20%</w:t>
      </w:r>
      <w:r>
        <w:rPr>
          <w:rFonts w:hint="eastAsia" w:ascii="仿宋" w:hAnsi="仿宋" w:eastAsia="仿宋"/>
          <w:color w:val="auto"/>
          <w:sz w:val="32"/>
          <w:szCs w:val="32"/>
          <w:lang w:eastAsia="zh-CN"/>
        </w:rPr>
        <w:t>，</w:t>
      </w:r>
      <w:r>
        <w:rPr>
          <w:rFonts w:hint="eastAsia" w:ascii="仿宋" w:hAnsi="仿宋" w:eastAsia="仿宋"/>
          <w:color w:val="auto"/>
          <w:sz w:val="32"/>
          <w:szCs w:val="32"/>
        </w:rPr>
        <w:t>教师教育课程≥64学分。</w:t>
      </w:r>
    </w:p>
    <w:p w14:paraId="0FA1E11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olor w:val="auto"/>
          <w:sz w:val="32"/>
          <w:szCs w:val="32"/>
          <w:lang w:val="en-US" w:eastAsia="zh-CN"/>
        </w:rPr>
      </w:pPr>
      <w:r>
        <w:rPr>
          <w:rFonts w:hint="eastAsia" w:ascii="仿宋" w:hAnsi="仿宋" w:eastAsia="仿宋"/>
          <w:color w:val="auto"/>
          <w:sz w:val="32"/>
          <w:szCs w:val="32"/>
          <w:lang w:val="en-US" w:eastAsia="zh-CN"/>
        </w:rPr>
        <w:t>具体详见表1。</w:t>
      </w:r>
    </w:p>
    <w:p w14:paraId="317B4DF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olor w:val="auto"/>
          <w:sz w:val="32"/>
          <w:szCs w:val="32"/>
        </w:rPr>
      </w:pPr>
    </w:p>
    <w:p w14:paraId="55ED8EB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olor w:val="auto"/>
          <w:sz w:val="32"/>
          <w:szCs w:val="32"/>
        </w:rPr>
      </w:pPr>
    </w:p>
    <w:p w14:paraId="66DED46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olor w:val="auto"/>
          <w:sz w:val="32"/>
          <w:szCs w:val="32"/>
        </w:rPr>
      </w:pPr>
    </w:p>
    <w:p w14:paraId="5F7F3EB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color w:val="auto"/>
          <w:sz w:val="24"/>
          <w:szCs w:val="24"/>
          <w:lang w:val="en-US" w:eastAsia="zh-CN"/>
        </w:rPr>
      </w:pPr>
      <w:r>
        <w:rPr>
          <w:rFonts w:hint="eastAsia" w:ascii="黑体" w:hAnsi="黑体" w:eastAsia="黑体" w:cs="黑体"/>
          <w:color w:val="auto"/>
          <w:sz w:val="24"/>
          <w:szCs w:val="24"/>
          <w:lang w:val="en-US" w:eastAsia="zh-CN"/>
        </w:rPr>
        <w:t>表1 师范类专业认证课程设置及学分要求</w:t>
      </w:r>
    </w:p>
    <w:tbl>
      <w:tblPr>
        <w:tblStyle w:val="3"/>
        <w:tblW w:w="94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98"/>
        <w:gridCol w:w="2520"/>
        <w:gridCol w:w="3631"/>
      </w:tblGrid>
      <w:tr w14:paraId="5FDF3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jc w:val="center"/>
        </w:trPr>
        <w:tc>
          <w:tcPr>
            <w:tcW w:w="3298" w:type="dxa"/>
            <w:noWrap w:val="0"/>
            <w:vAlign w:val="center"/>
          </w:tcPr>
          <w:p w14:paraId="4AB25866">
            <w:pPr>
              <w:jc w:val="center"/>
              <w:rPr>
                <w:rFonts w:hint="default" w:ascii="宋体" w:hAnsi="宋体" w:eastAsia="宋体" w:cs="宋体"/>
                <w:b/>
                <w:color w:val="auto"/>
                <w:szCs w:val="21"/>
                <w:lang w:val="en-US" w:eastAsia="zh-CN"/>
              </w:rPr>
            </w:pPr>
            <w:r>
              <w:rPr>
                <w:rFonts w:hint="eastAsia" w:ascii="宋体" w:hAnsi="宋体" w:cs="宋体"/>
                <w:b/>
                <w:color w:val="auto"/>
                <w:szCs w:val="21"/>
                <w:lang w:val="en-US" w:eastAsia="zh-CN"/>
              </w:rPr>
              <w:t>师范类专业认证</w:t>
            </w:r>
          </w:p>
        </w:tc>
        <w:tc>
          <w:tcPr>
            <w:tcW w:w="2520" w:type="dxa"/>
            <w:noWrap w:val="0"/>
            <w:vAlign w:val="center"/>
          </w:tcPr>
          <w:p w14:paraId="6BFA63C9">
            <w:pPr>
              <w:jc w:val="center"/>
              <w:rPr>
                <w:rFonts w:ascii="宋体" w:hAnsi="宋体" w:cs="宋体"/>
                <w:b/>
                <w:color w:val="auto"/>
                <w:szCs w:val="21"/>
              </w:rPr>
            </w:pPr>
            <w:r>
              <w:rPr>
                <w:rFonts w:hint="eastAsia" w:ascii="宋体" w:hAnsi="宋体" w:cs="宋体"/>
                <w:b/>
                <w:color w:val="auto"/>
                <w:szCs w:val="21"/>
              </w:rPr>
              <w:t>课程模块类别</w:t>
            </w:r>
          </w:p>
        </w:tc>
        <w:tc>
          <w:tcPr>
            <w:tcW w:w="3631" w:type="dxa"/>
            <w:noWrap w:val="0"/>
            <w:vAlign w:val="center"/>
          </w:tcPr>
          <w:p w14:paraId="366F9E9E">
            <w:pPr>
              <w:jc w:val="center"/>
              <w:rPr>
                <w:b/>
                <w:bCs/>
                <w:color w:val="auto"/>
              </w:rPr>
            </w:pPr>
            <w:r>
              <w:rPr>
                <w:rFonts w:hint="eastAsia"/>
                <w:b/>
                <w:bCs/>
                <w:color w:val="auto"/>
              </w:rPr>
              <w:t>学分占总学分的比重是否符合师范专业认证标准（二级）</w:t>
            </w:r>
          </w:p>
        </w:tc>
      </w:tr>
      <w:tr w14:paraId="7B4985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jc w:val="center"/>
        </w:trPr>
        <w:tc>
          <w:tcPr>
            <w:tcW w:w="3298" w:type="dxa"/>
            <w:vMerge w:val="restart"/>
            <w:noWrap w:val="0"/>
            <w:vAlign w:val="center"/>
          </w:tcPr>
          <w:p w14:paraId="442BB871">
            <w:pPr>
              <w:adjustRightInd w:val="0"/>
              <w:snapToGrid w:val="0"/>
              <w:ind w:left="-105" w:leftChars="-50" w:right="-105" w:rightChars="-50"/>
              <w:jc w:val="center"/>
              <w:rPr>
                <w:rFonts w:hint="eastAsia" w:ascii="宋体" w:hAnsi="宋体" w:cs="宋体"/>
                <w:color w:val="auto"/>
                <w:szCs w:val="21"/>
                <w:highlight w:val="none"/>
              </w:rPr>
            </w:pPr>
            <w:r>
              <w:rPr>
                <w:rFonts w:hint="eastAsia" w:ascii="宋体" w:hAnsi="宋体" w:cs="宋体"/>
                <w:color w:val="auto"/>
                <w:szCs w:val="21"/>
                <w:highlight w:val="none"/>
              </w:rPr>
              <w:t>《中学教育专业认证标准（第二级）》</w:t>
            </w:r>
          </w:p>
          <w:p w14:paraId="6627057B">
            <w:pPr>
              <w:adjustRightInd w:val="0"/>
              <w:snapToGrid w:val="0"/>
              <w:ind w:left="-105" w:leftChars="-50" w:right="-105" w:rightChars="-50"/>
              <w:jc w:val="center"/>
              <w:rPr>
                <w:rFonts w:hint="eastAsia" w:ascii="宋体" w:hAnsi="宋体" w:cs="宋体"/>
                <w:color w:val="auto"/>
                <w:szCs w:val="21"/>
                <w:highlight w:val="none"/>
              </w:rPr>
            </w:pPr>
            <w:r>
              <w:rPr>
                <w:rFonts w:hint="eastAsia" w:ascii="宋体" w:hAnsi="宋体" w:cs="宋体"/>
                <w:color w:val="auto"/>
                <w:szCs w:val="21"/>
                <w:highlight w:val="none"/>
              </w:rPr>
              <w:t>《小学教育专业认证标准（第二级）》</w:t>
            </w:r>
          </w:p>
          <w:p w14:paraId="6956F9EF">
            <w:pPr>
              <w:adjustRightInd w:val="0"/>
              <w:snapToGrid w:val="0"/>
              <w:ind w:left="-105" w:leftChars="-50" w:right="-105" w:rightChars="-50"/>
              <w:jc w:val="center"/>
              <w:rPr>
                <w:rFonts w:hint="eastAsia" w:ascii="宋体" w:hAnsi="宋体" w:cs="宋体"/>
                <w:color w:val="auto"/>
                <w:szCs w:val="21"/>
                <w:highlight w:val="none"/>
              </w:rPr>
            </w:pPr>
            <w:r>
              <w:rPr>
                <w:rFonts w:hint="eastAsia" w:ascii="宋体" w:hAnsi="宋体" w:cs="宋体"/>
                <w:color w:val="auto"/>
                <w:szCs w:val="21"/>
                <w:highlight w:val="none"/>
              </w:rPr>
              <w:t>《学前教育专业认证标准</w:t>
            </w:r>
            <w:r>
              <w:rPr>
                <w:rFonts w:hint="eastAsia" w:ascii="宋体" w:hAnsi="宋体" w:cs="宋体"/>
                <w:color w:val="auto"/>
                <w:szCs w:val="21"/>
                <w:highlight w:val="none"/>
                <w:lang w:eastAsia="zh-CN"/>
              </w:rPr>
              <w:t>（</w:t>
            </w:r>
            <w:r>
              <w:rPr>
                <w:rFonts w:hint="eastAsia" w:ascii="宋体" w:hAnsi="宋体" w:cs="宋体"/>
                <w:color w:val="auto"/>
                <w:szCs w:val="21"/>
                <w:highlight w:val="none"/>
              </w:rPr>
              <w:t>第二级）》</w:t>
            </w:r>
          </w:p>
        </w:tc>
        <w:tc>
          <w:tcPr>
            <w:tcW w:w="2520" w:type="dxa"/>
            <w:noWrap w:val="0"/>
            <w:vAlign w:val="center"/>
          </w:tcPr>
          <w:p w14:paraId="3DEEB3FB">
            <w:pPr>
              <w:adjustRightInd w:val="0"/>
              <w:snapToGrid w:val="0"/>
              <w:ind w:left="-105" w:leftChars="-50" w:right="-105" w:rightChars="-50"/>
              <w:jc w:val="center"/>
              <w:rPr>
                <w:rFonts w:ascii="宋体" w:hAnsi="宋体" w:cs="宋体"/>
                <w:color w:val="auto"/>
                <w:szCs w:val="21"/>
                <w:highlight w:val="none"/>
              </w:rPr>
            </w:pPr>
            <w:r>
              <w:rPr>
                <w:rFonts w:hint="eastAsia" w:ascii="宋体" w:hAnsi="宋体" w:cs="宋体"/>
                <w:color w:val="auto"/>
                <w:szCs w:val="21"/>
                <w:highlight w:val="none"/>
              </w:rPr>
              <w:t>通修通识教育课程中的</w:t>
            </w:r>
          </w:p>
          <w:p w14:paraId="333D8E5C">
            <w:pPr>
              <w:adjustRightInd w:val="0"/>
              <w:snapToGrid w:val="0"/>
              <w:ind w:left="-105" w:leftChars="-50" w:right="-105" w:rightChars="-50"/>
              <w:jc w:val="center"/>
              <w:rPr>
                <w:rFonts w:ascii="宋体" w:hAnsi="宋体" w:cs="宋体"/>
                <w:color w:val="auto"/>
                <w:szCs w:val="21"/>
                <w:highlight w:val="none"/>
              </w:rPr>
            </w:pPr>
            <w:r>
              <w:rPr>
                <w:rFonts w:hint="eastAsia" w:ascii="宋体" w:hAnsi="宋体" w:cs="宋体"/>
                <w:color w:val="auto"/>
                <w:szCs w:val="21"/>
                <w:highlight w:val="none"/>
              </w:rPr>
              <w:t>人文社会与科学素养课程</w:t>
            </w:r>
          </w:p>
        </w:tc>
        <w:tc>
          <w:tcPr>
            <w:tcW w:w="3631" w:type="dxa"/>
            <w:noWrap w:val="0"/>
            <w:vAlign w:val="center"/>
          </w:tcPr>
          <w:p w14:paraId="16DDA3B5">
            <w:pPr>
              <w:jc w:val="center"/>
              <w:rPr>
                <w:color w:val="auto"/>
                <w:highlight w:val="none"/>
              </w:rPr>
            </w:pPr>
            <w:r>
              <w:rPr>
                <w:rFonts w:hint="eastAsia"/>
                <w:color w:val="auto"/>
                <w:highlight w:val="none"/>
              </w:rPr>
              <w:t>符合（标准：≥1</w:t>
            </w:r>
            <w:r>
              <w:rPr>
                <w:color w:val="auto"/>
                <w:highlight w:val="none"/>
              </w:rPr>
              <w:t>0%</w:t>
            </w:r>
            <w:r>
              <w:rPr>
                <w:rFonts w:hint="eastAsia"/>
                <w:color w:val="auto"/>
                <w:highlight w:val="none"/>
              </w:rPr>
              <w:t>）</w:t>
            </w:r>
          </w:p>
        </w:tc>
      </w:tr>
      <w:tr w14:paraId="2DF87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3298" w:type="dxa"/>
            <w:vMerge w:val="continue"/>
            <w:noWrap w:val="0"/>
            <w:vAlign w:val="center"/>
          </w:tcPr>
          <w:p w14:paraId="6F6642C5">
            <w:pPr>
              <w:adjustRightInd w:val="0"/>
              <w:snapToGrid w:val="0"/>
              <w:ind w:left="-105" w:leftChars="-50" w:right="-105" w:rightChars="-50"/>
              <w:jc w:val="center"/>
              <w:rPr>
                <w:rFonts w:hint="eastAsia" w:ascii="宋体" w:hAnsi="宋体" w:cs="宋体"/>
                <w:color w:val="auto"/>
                <w:szCs w:val="21"/>
              </w:rPr>
            </w:pPr>
          </w:p>
        </w:tc>
        <w:tc>
          <w:tcPr>
            <w:tcW w:w="2520" w:type="dxa"/>
            <w:vMerge w:val="restart"/>
            <w:noWrap w:val="0"/>
            <w:vAlign w:val="center"/>
          </w:tcPr>
          <w:p w14:paraId="3678248F">
            <w:pPr>
              <w:adjustRightInd w:val="0"/>
              <w:snapToGrid w:val="0"/>
              <w:ind w:left="-105" w:leftChars="-50" w:right="-105" w:rightChars="-50"/>
              <w:jc w:val="center"/>
              <w:rPr>
                <w:rFonts w:ascii="宋体" w:hAnsi="宋体" w:cs="宋体"/>
                <w:color w:val="auto"/>
                <w:szCs w:val="21"/>
              </w:rPr>
            </w:pPr>
            <w:r>
              <w:rPr>
                <w:rFonts w:hint="eastAsia" w:ascii="宋体" w:hAnsi="宋体" w:cs="宋体"/>
                <w:color w:val="auto"/>
                <w:szCs w:val="21"/>
              </w:rPr>
              <w:t>教师教育课程</w:t>
            </w:r>
          </w:p>
        </w:tc>
        <w:tc>
          <w:tcPr>
            <w:tcW w:w="3631" w:type="dxa"/>
            <w:noWrap w:val="0"/>
            <w:vAlign w:val="center"/>
          </w:tcPr>
          <w:p w14:paraId="0747CCDA">
            <w:pPr>
              <w:adjustRightInd w:val="0"/>
              <w:snapToGrid w:val="0"/>
              <w:ind w:left="-105" w:leftChars="-50" w:right="-105" w:rightChars="-50"/>
              <w:jc w:val="center"/>
              <w:rPr>
                <w:rFonts w:hint="eastAsia" w:ascii="宋体" w:hAnsi="宋体" w:cs="宋体"/>
                <w:color w:val="auto"/>
                <w:szCs w:val="21"/>
                <w:highlight w:val="none"/>
              </w:rPr>
            </w:pPr>
            <w:r>
              <w:rPr>
                <w:rFonts w:hint="eastAsia" w:ascii="宋体" w:hAnsi="宋体" w:cs="宋体"/>
                <w:color w:val="auto"/>
                <w:szCs w:val="21"/>
                <w:highlight w:val="none"/>
              </w:rPr>
              <w:t>《中学教育专业认证标准（第二级）》</w:t>
            </w:r>
          </w:p>
          <w:p w14:paraId="027FF7A6">
            <w:pPr>
              <w:jc w:val="center"/>
              <w:rPr>
                <w:rFonts w:hint="eastAsia"/>
                <w:color w:val="auto"/>
              </w:rPr>
            </w:pPr>
            <w:r>
              <w:rPr>
                <w:rFonts w:hint="eastAsia"/>
                <w:color w:val="auto"/>
              </w:rPr>
              <w:t>符合（标准：≥1</w:t>
            </w:r>
            <w:r>
              <w:rPr>
                <w:color w:val="auto"/>
              </w:rPr>
              <w:t>4</w:t>
            </w:r>
            <w:r>
              <w:rPr>
                <w:rFonts w:hint="eastAsia"/>
                <w:color w:val="auto"/>
              </w:rPr>
              <w:t>学分）</w:t>
            </w:r>
          </w:p>
        </w:tc>
      </w:tr>
      <w:tr w14:paraId="44A76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3298" w:type="dxa"/>
            <w:vMerge w:val="continue"/>
            <w:noWrap w:val="0"/>
            <w:vAlign w:val="center"/>
          </w:tcPr>
          <w:p w14:paraId="3235BBCF">
            <w:pPr>
              <w:jc w:val="center"/>
            </w:pPr>
          </w:p>
        </w:tc>
        <w:tc>
          <w:tcPr>
            <w:tcW w:w="2520" w:type="dxa"/>
            <w:vMerge w:val="continue"/>
            <w:noWrap w:val="0"/>
            <w:vAlign w:val="center"/>
          </w:tcPr>
          <w:p w14:paraId="6F8224C4">
            <w:pPr>
              <w:jc w:val="center"/>
            </w:pPr>
          </w:p>
        </w:tc>
        <w:tc>
          <w:tcPr>
            <w:tcW w:w="3631" w:type="dxa"/>
            <w:noWrap w:val="0"/>
            <w:vAlign w:val="center"/>
          </w:tcPr>
          <w:p w14:paraId="1D1DE988">
            <w:pPr>
              <w:jc w:val="both"/>
              <w:rPr>
                <w:rFonts w:hint="eastAsia"/>
                <w:color w:val="auto"/>
              </w:rPr>
            </w:pPr>
            <w:r>
              <w:rPr>
                <w:rFonts w:hint="eastAsia"/>
                <w:color w:val="auto"/>
              </w:rPr>
              <w:t>《小学教育专业认证标准（第二级）》</w:t>
            </w:r>
          </w:p>
          <w:p w14:paraId="6A96F2AC">
            <w:pPr>
              <w:jc w:val="center"/>
              <w:rPr>
                <w:rFonts w:hint="eastAsia"/>
                <w:color w:val="auto"/>
              </w:rPr>
            </w:pPr>
            <w:r>
              <w:rPr>
                <w:rFonts w:hint="eastAsia"/>
                <w:color w:val="auto"/>
              </w:rPr>
              <w:t>符合（标准：≥32学分</w:t>
            </w:r>
            <w:r>
              <w:rPr>
                <w:rFonts w:hint="eastAsia"/>
                <w:color w:val="auto"/>
                <w:lang w:eastAsia="zh-CN"/>
              </w:rPr>
              <w:t>）</w:t>
            </w:r>
          </w:p>
        </w:tc>
      </w:tr>
      <w:tr w14:paraId="0C90F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3298" w:type="dxa"/>
            <w:vMerge w:val="continue"/>
            <w:noWrap w:val="0"/>
            <w:vAlign w:val="center"/>
          </w:tcPr>
          <w:p w14:paraId="3D44B340">
            <w:pPr>
              <w:jc w:val="center"/>
              <w:rPr>
                <w:rFonts w:hint="eastAsia"/>
                <w:color w:val="auto"/>
              </w:rPr>
            </w:pPr>
          </w:p>
        </w:tc>
        <w:tc>
          <w:tcPr>
            <w:tcW w:w="2520" w:type="dxa"/>
            <w:vMerge w:val="continue"/>
            <w:noWrap w:val="0"/>
            <w:vAlign w:val="center"/>
          </w:tcPr>
          <w:p w14:paraId="0EE0D792">
            <w:pPr>
              <w:jc w:val="center"/>
              <w:rPr>
                <w:rFonts w:hint="eastAsia"/>
                <w:color w:val="auto"/>
              </w:rPr>
            </w:pPr>
          </w:p>
        </w:tc>
        <w:tc>
          <w:tcPr>
            <w:tcW w:w="3631" w:type="dxa"/>
            <w:noWrap w:val="0"/>
            <w:vAlign w:val="center"/>
          </w:tcPr>
          <w:p w14:paraId="6C3FC127">
            <w:pPr>
              <w:jc w:val="center"/>
              <w:rPr>
                <w:rFonts w:hint="eastAsia"/>
                <w:color w:val="auto"/>
              </w:rPr>
            </w:pPr>
            <w:r>
              <w:rPr>
                <w:rFonts w:hint="eastAsia"/>
                <w:color w:val="auto"/>
              </w:rPr>
              <w:t>《学前教育专业认证标准（第二级）》</w:t>
            </w:r>
          </w:p>
          <w:p w14:paraId="158EF9AD">
            <w:pPr>
              <w:jc w:val="center"/>
              <w:rPr>
                <w:rFonts w:hint="eastAsia"/>
                <w:color w:val="auto"/>
              </w:rPr>
            </w:pPr>
            <w:r>
              <w:rPr>
                <w:rFonts w:hint="eastAsia"/>
                <w:color w:val="auto"/>
              </w:rPr>
              <w:t>符合（标准：≥64学分）</w:t>
            </w:r>
          </w:p>
        </w:tc>
      </w:tr>
      <w:tr w14:paraId="1AD1E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3298" w:type="dxa"/>
            <w:vMerge w:val="continue"/>
            <w:noWrap w:val="0"/>
            <w:vAlign w:val="center"/>
          </w:tcPr>
          <w:p w14:paraId="7CF1FA66">
            <w:pPr>
              <w:adjustRightInd w:val="0"/>
              <w:snapToGrid w:val="0"/>
              <w:ind w:left="-105" w:leftChars="-50" w:right="-105" w:rightChars="-50"/>
              <w:jc w:val="center"/>
              <w:rPr>
                <w:rFonts w:hint="eastAsia" w:ascii="宋体" w:hAnsi="宋体" w:cs="宋体"/>
                <w:color w:val="auto"/>
                <w:szCs w:val="21"/>
              </w:rPr>
            </w:pPr>
          </w:p>
        </w:tc>
        <w:tc>
          <w:tcPr>
            <w:tcW w:w="2520" w:type="dxa"/>
            <w:vMerge w:val="restart"/>
            <w:noWrap w:val="0"/>
            <w:vAlign w:val="center"/>
          </w:tcPr>
          <w:p w14:paraId="0D3AA810">
            <w:pPr>
              <w:adjustRightInd w:val="0"/>
              <w:snapToGrid w:val="0"/>
              <w:ind w:left="-105" w:leftChars="-50" w:right="-105" w:rightChars="-50"/>
              <w:jc w:val="center"/>
              <w:rPr>
                <w:rFonts w:ascii="宋体" w:hAnsi="宋体" w:cs="宋体"/>
                <w:color w:val="auto"/>
                <w:szCs w:val="21"/>
              </w:rPr>
            </w:pPr>
            <w:r>
              <w:rPr>
                <w:rFonts w:hint="eastAsia" w:ascii="宋体" w:hAnsi="宋体" w:cs="宋体"/>
                <w:color w:val="auto"/>
                <w:szCs w:val="21"/>
              </w:rPr>
              <w:t>专业教育课程</w:t>
            </w:r>
          </w:p>
        </w:tc>
        <w:tc>
          <w:tcPr>
            <w:tcW w:w="3631" w:type="dxa"/>
            <w:noWrap w:val="0"/>
            <w:vAlign w:val="center"/>
          </w:tcPr>
          <w:p w14:paraId="497D77FD">
            <w:pPr>
              <w:adjustRightInd w:val="0"/>
              <w:snapToGrid w:val="0"/>
              <w:ind w:left="-105" w:leftChars="-50" w:right="-105" w:rightChars="-50"/>
              <w:jc w:val="center"/>
              <w:rPr>
                <w:rFonts w:hint="eastAsia" w:ascii="宋体" w:hAnsi="宋体" w:cs="宋体"/>
                <w:color w:val="auto"/>
                <w:szCs w:val="21"/>
                <w:highlight w:val="none"/>
              </w:rPr>
            </w:pPr>
            <w:r>
              <w:rPr>
                <w:rFonts w:hint="eastAsia" w:ascii="宋体" w:hAnsi="宋体" w:cs="宋体"/>
                <w:color w:val="auto"/>
                <w:szCs w:val="21"/>
                <w:highlight w:val="none"/>
              </w:rPr>
              <w:t>《中学教育专业认证标准（第二级）》</w:t>
            </w:r>
          </w:p>
          <w:p w14:paraId="5DB91874">
            <w:pPr>
              <w:jc w:val="center"/>
              <w:rPr>
                <w:rFonts w:hint="eastAsia"/>
                <w:color w:val="auto"/>
              </w:rPr>
            </w:pPr>
            <w:r>
              <w:rPr>
                <w:rFonts w:hint="eastAsia"/>
                <w:color w:val="auto"/>
              </w:rPr>
              <w:t>符合（标准：≥5</w:t>
            </w:r>
            <w:r>
              <w:rPr>
                <w:color w:val="auto"/>
              </w:rPr>
              <w:t>0%</w:t>
            </w:r>
            <w:r>
              <w:rPr>
                <w:rFonts w:hint="eastAsia"/>
                <w:color w:val="auto"/>
              </w:rPr>
              <w:t>）</w:t>
            </w:r>
          </w:p>
        </w:tc>
      </w:tr>
      <w:tr w14:paraId="29DA8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3298" w:type="dxa"/>
            <w:vMerge w:val="continue"/>
            <w:noWrap w:val="0"/>
            <w:vAlign w:val="center"/>
          </w:tcPr>
          <w:p w14:paraId="09FED37C">
            <w:pPr>
              <w:jc w:val="center"/>
            </w:pPr>
          </w:p>
        </w:tc>
        <w:tc>
          <w:tcPr>
            <w:tcW w:w="2520" w:type="dxa"/>
            <w:vMerge w:val="continue"/>
            <w:noWrap w:val="0"/>
            <w:vAlign w:val="center"/>
          </w:tcPr>
          <w:p w14:paraId="40A044EE">
            <w:pPr>
              <w:jc w:val="center"/>
            </w:pPr>
          </w:p>
        </w:tc>
        <w:tc>
          <w:tcPr>
            <w:tcW w:w="3631" w:type="dxa"/>
            <w:noWrap w:val="0"/>
            <w:vAlign w:val="center"/>
          </w:tcPr>
          <w:p w14:paraId="57E45B93">
            <w:pPr>
              <w:jc w:val="center"/>
              <w:rPr>
                <w:rFonts w:hint="eastAsia"/>
                <w:color w:val="auto"/>
              </w:rPr>
            </w:pPr>
            <w:r>
              <w:rPr>
                <w:rFonts w:hint="eastAsia"/>
                <w:color w:val="auto"/>
              </w:rPr>
              <w:t>《小学教育专业认证标准（第二级）》符合（标准：≥35</w:t>
            </w:r>
            <w:r>
              <w:rPr>
                <w:color w:val="auto"/>
              </w:rPr>
              <w:t>%</w:t>
            </w:r>
            <w:r>
              <w:rPr>
                <w:rFonts w:hint="eastAsia"/>
                <w:color w:val="auto"/>
              </w:rPr>
              <w:t>）</w:t>
            </w:r>
          </w:p>
        </w:tc>
      </w:tr>
      <w:tr w14:paraId="1AE93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3298" w:type="dxa"/>
            <w:vMerge w:val="continue"/>
            <w:noWrap w:val="0"/>
            <w:vAlign w:val="center"/>
          </w:tcPr>
          <w:p w14:paraId="2EBE4025">
            <w:pPr>
              <w:jc w:val="center"/>
              <w:rPr>
                <w:rFonts w:hint="eastAsia"/>
                <w:color w:val="auto"/>
              </w:rPr>
            </w:pPr>
          </w:p>
        </w:tc>
        <w:tc>
          <w:tcPr>
            <w:tcW w:w="2520" w:type="dxa"/>
            <w:vMerge w:val="continue"/>
            <w:noWrap w:val="0"/>
            <w:vAlign w:val="center"/>
          </w:tcPr>
          <w:p w14:paraId="5D7F8A26">
            <w:pPr>
              <w:jc w:val="center"/>
              <w:rPr>
                <w:rFonts w:hint="eastAsia"/>
                <w:color w:val="auto"/>
              </w:rPr>
            </w:pPr>
          </w:p>
        </w:tc>
        <w:tc>
          <w:tcPr>
            <w:tcW w:w="3631" w:type="dxa"/>
            <w:noWrap w:val="0"/>
            <w:vAlign w:val="center"/>
          </w:tcPr>
          <w:p w14:paraId="3E3BA795">
            <w:pPr>
              <w:adjustRightInd w:val="0"/>
              <w:snapToGrid w:val="0"/>
              <w:ind w:left="-105" w:leftChars="-50" w:right="-105" w:rightChars="-50"/>
              <w:jc w:val="center"/>
              <w:rPr>
                <w:rFonts w:hint="eastAsia" w:ascii="宋体" w:hAnsi="宋体" w:cs="宋体"/>
                <w:color w:val="auto"/>
                <w:szCs w:val="21"/>
                <w:highlight w:val="none"/>
              </w:rPr>
            </w:pPr>
            <w:r>
              <w:rPr>
                <w:rFonts w:hint="eastAsia" w:ascii="宋体" w:hAnsi="宋体" w:cs="宋体"/>
                <w:color w:val="auto"/>
                <w:szCs w:val="21"/>
                <w:highlight w:val="none"/>
              </w:rPr>
              <w:t>《学前教育专业认证标准</w:t>
            </w:r>
            <w:r>
              <w:rPr>
                <w:rFonts w:hint="eastAsia" w:ascii="宋体" w:hAnsi="宋体" w:cs="宋体"/>
                <w:color w:val="auto"/>
                <w:szCs w:val="21"/>
                <w:highlight w:val="none"/>
                <w:lang w:eastAsia="zh-CN"/>
              </w:rPr>
              <w:t>（</w:t>
            </w:r>
            <w:r>
              <w:rPr>
                <w:rFonts w:hint="eastAsia" w:ascii="宋体" w:hAnsi="宋体" w:cs="宋体"/>
                <w:color w:val="auto"/>
                <w:szCs w:val="21"/>
                <w:highlight w:val="none"/>
              </w:rPr>
              <w:t>第二级）》</w:t>
            </w:r>
          </w:p>
          <w:p w14:paraId="656C4A5A">
            <w:pPr>
              <w:jc w:val="center"/>
              <w:rPr>
                <w:rFonts w:hint="eastAsia"/>
                <w:color w:val="auto"/>
              </w:rPr>
            </w:pPr>
            <w:r>
              <w:rPr>
                <w:rFonts w:hint="eastAsia"/>
                <w:color w:val="auto"/>
              </w:rPr>
              <w:t>符合（标准：≥20</w:t>
            </w:r>
            <w:r>
              <w:rPr>
                <w:color w:val="auto"/>
              </w:rPr>
              <w:t>%</w:t>
            </w:r>
            <w:r>
              <w:rPr>
                <w:rFonts w:hint="eastAsia"/>
                <w:color w:val="auto"/>
              </w:rPr>
              <w:t>）</w:t>
            </w:r>
          </w:p>
        </w:tc>
      </w:tr>
      <w:tr w14:paraId="6CF04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98" w:type="dxa"/>
            <w:vMerge w:val="continue"/>
            <w:noWrap w:val="0"/>
            <w:vAlign w:val="center"/>
          </w:tcPr>
          <w:p w14:paraId="56AE9303">
            <w:pPr>
              <w:adjustRightInd w:val="0"/>
              <w:snapToGrid w:val="0"/>
              <w:ind w:left="-105" w:leftChars="-50" w:right="-105" w:rightChars="-50"/>
              <w:jc w:val="center"/>
              <w:rPr>
                <w:rFonts w:hint="eastAsia"/>
                <w:color w:val="auto"/>
              </w:rPr>
            </w:pPr>
          </w:p>
        </w:tc>
        <w:tc>
          <w:tcPr>
            <w:tcW w:w="2520" w:type="dxa"/>
            <w:noWrap w:val="0"/>
            <w:vAlign w:val="center"/>
          </w:tcPr>
          <w:p w14:paraId="3D6B8A55">
            <w:pPr>
              <w:adjustRightInd w:val="0"/>
              <w:snapToGrid w:val="0"/>
              <w:ind w:left="-105" w:leftChars="-50" w:right="-105" w:rightChars="-50"/>
              <w:jc w:val="center"/>
              <w:rPr>
                <w:rFonts w:ascii="宋体" w:hAnsi="宋体" w:cs="宋体"/>
                <w:color w:val="auto"/>
                <w:szCs w:val="21"/>
              </w:rPr>
            </w:pPr>
            <w:r>
              <w:rPr>
                <w:rFonts w:hint="eastAsia"/>
                <w:color w:val="auto"/>
              </w:rPr>
              <w:t>教育实践</w:t>
            </w:r>
          </w:p>
        </w:tc>
        <w:tc>
          <w:tcPr>
            <w:tcW w:w="3631" w:type="dxa"/>
            <w:noWrap w:val="0"/>
            <w:vAlign w:val="center"/>
          </w:tcPr>
          <w:p w14:paraId="5889E166">
            <w:pPr>
              <w:adjustRightInd w:val="0"/>
              <w:snapToGrid w:val="0"/>
              <w:ind w:left="-105" w:leftChars="-50" w:right="-105" w:rightChars="-50"/>
              <w:jc w:val="center"/>
              <w:rPr>
                <w:rFonts w:ascii="宋体" w:hAnsi="宋体" w:cs="宋体"/>
                <w:color w:val="auto"/>
                <w:szCs w:val="21"/>
              </w:rPr>
            </w:pPr>
            <w:r>
              <w:rPr>
                <w:rFonts w:hint="eastAsia"/>
                <w:color w:val="auto"/>
              </w:rPr>
              <w:t>符合（标准：≥1</w:t>
            </w:r>
            <w:r>
              <w:rPr>
                <w:color w:val="auto"/>
              </w:rPr>
              <w:t>8</w:t>
            </w:r>
            <w:r>
              <w:rPr>
                <w:rFonts w:hint="eastAsia"/>
                <w:color w:val="auto"/>
              </w:rPr>
              <w:t>周）</w:t>
            </w:r>
          </w:p>
        </w:tc>
      </w:tr>
    </w:tbl>
    <w:p w14:paraId="3A886C6B">
      <w:pPr>
        <w:spacing w:line="520" w:lineRule="exact"/>
        <w:rPr>
          <w:rFonts w:ascii="仿宋" w:hAnsi="仿宋" w:eastAsia="仿宋"/>
          <w:color w:val="auto"/>
          <w:sz w:val="32"/>
          <w:szCs w:val="32"/>
        </w:rPr>
      </w:pPr>
    </w:p>
    <w:p w14:paraId="60D2D3F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黑体" w:hAnsi="黑体" w:eastAsia="黑体" w:cs="黑体"/>
          <w:b/>
          <w:color w:val="auto"/>
          <w:sz w:val="32"/>
          <w:szCs w:val="32"/>
        </w:rPr>
      </w:pPr>
      <w:r>
        <w:rPr>
          <w:rFonts w:hint="eastAsia" w:ascii="黑体" w:hAnsi="黑体" w:eastAsia="黑体" w:cs="黑体"/>
          <w:b/>
          <w:color w:val="auto"/>
          <w:sz w:val="32"/>
          <w:szCs w:val="32"/>
        </w:rPr>
        <w:t>二、《中国工程教育专业认证通用标准》</w:t>
      </w:r>
    </w:p>
    <w:p w14:paraId="10C84C7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olor w:val="auto"/>
          <w:sz w:val="32"/>
          <w:szCs w:val="32"/>
        </w:rPr>
      </w:pPr>
      <w:r>
        <w:rPr>
          <w:rFonts w:hint="eastAsia" w:ascii="仿宋" w:hAnsi="仿宋" w:eastAsia="仿宋"/>
          <w:color w:val="auto"/>
          <w:sz w:val="32"/>
          <w:szCs w:val="32"/>
          <w:lang w:eastAsia="zh-CN"/>
        </w:rPr>
        <w:t>（</w:t>
      </w:r>
      <w:r>
        <w:rPr>
          <w:rFonts w:hint="eastAsia" w:ascii="仿宋" w:hAnsi="仿宋" w:eastAsia="仿宋"/>
          <w:color w:val="auto"/>
          <w:sz w:val="32"/>
          <w:szCs w:val="32"/>
          <w:lang w:val="en-US" w:eastAsia="zh-CN"/>
        </w:rPr>
        <w:t>一</w:t>
      </w:r>
      <w:r>
        <w:rPr>
          <w:rFonts w:hint="eastAsia" w:ascii="仿宋" w:hAnsi="仿宋" w:eastAsia="仿宋"/>
          <w:color w:val="auto"/>
          <w:sz w:val="32"/>
          <w:szCs w:val="32"/>
          <w:lang w:eastAsia="zh-CN"/>
        </w:rPr>
        <w:t>）</w:t>
      </w:r>
      <w:r>
        <w:rPr>
          <w:rFonts w:hint="eastAsia" w:ascii="仿宋" w:hAnsi="仿宋" w:eastAsia="仿宋"/>
          <w:color w:val="auto"/>
          <w:sz w:val="32"/>
          <w:szCs w:val="32"/>
        </w:rPr>
        <w:t>课程体系</w:t>
      </w:r>
    </w:p>
    <w:p w14:paraId="79E3C40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olor w:val="auto"/>
          <w:sz w:val="32"/>
          <w:szCs w:val="32"/>
        </w:rPr>
      </w:pPr>
      <w:r>
        <w:rPr>
          <w:rFonts w:hint="eastAsia" w:ascii="仿宋" w:hAnsi="仿宋" w:eastAsia="仿宋"/>
          <w:color w:val="auto"/>
          <w:sz w:val="32"/>
          <w:szCs w:val="32"/>
        </w:rPr>
        <w:t>课程设置能支持毕业要求的达成，课程体系设计有企业或行业专家参与。课程体系必须包括：</w:t>
      </w:r>
    </w:p>
    <w:p w14:paraId="0C34ACF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olor w:val="auto"/>
          <w:sz w:val="32"/>
          <w:szCs w:val="32"/>
        </w:rPr>
      </w:pPr>
      <w:r>
        <w:rPr>
          <w:rFonts w:hint="eastAsia" w:ascii="仿宋" w:hAnsi="仿宋" w:eastAsia="仿宋"/>
          <w:color w:val="auto"/>
          <w:sz w:val="32"/>
          <w:szCs w:val="32"/>
          <w:lang w:val="en-US" w:eastAsia="zh-CN"/>
        </w:rPr>
        <w:t>1.</w:t>
      </w:r>
      <w:r>
        <w:rPr>
          <w:rFonts w:hint="eastAsia" w:ascii="仿宋" w:hAnsi="仿宋" w:eastAsia="仿宋"/>
          <w:color w:val="auto"/>
          <w:sz w:val="32"/>
          <w:szCs w:val="32"/>
        </w:rPr>
        <w:t>与本专业毕业要求相适应的数学与自然科学类课程（至少占总学分的15%）。</w:t>
      </w:r>
    </w:p>
    <w:p w14:paraId="77803A4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olor w:val="auto"/>
          <w:sz w:val="32"/>
          <w:szCs w:val="32"/>
        </w:rPr>
      </w:pPr>
      <w:r>
        <w:rPr>
          <w:rFonts w:hint="eastAsia" w:ascii="仿宋" w:hAnsi="仿宋" w:eastAsia="仿宋"/>
          <w:color w:val="auto"/>
          <w:sz w:val="32"/>
          <w:szCs w:val="32"/>
          <w:lang w:val="en-US" w:eastAsia="zh-CN"/>
        </w:rPr>
        <w:t>2.</w:t>
      </w:r>
      <w:r>
        <w:rPr>
          <w:rFonts w:hint="eastAsia" w:ascii="仿宋" w:hAnsi="仿宋" w:eastAsia="仿宋"/>
          <w:color w:val="auto"/>
          <w:sz w:val="32"/>
          <w:szCs w:val="32"/>
        </w:rPr>
        <w:t>符合本专业毕业要求的工程基础类课程、专业基础类课程与专业类课程（至少占总学分的30%）。工程基础类课程和专业基础类课程能体现数学和自然科学在本专业应用能力培养，专业类课程能体现系统设计和实现能力的培养。</w:t>
      </w:r>
    </w:p>
    <w:p w14:paraId="091DC59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olor w:val="auto"/>
          <w:sz w:val="32"/>
          <w:szCs w:val="32"/>
        </w:rPr>
      </w:pPr>
      <w:r>
        <w:rPr>
          <w:rFonts w:hint="eastAsia" w:ascii="仿宋" w:hAnsi="仿宋" w:eastAsia="仿宋"/>
          <w:color w:val="auto"/>
          <w:sz w:val="32"/>
          <w:szCs w:val="32"/>
          <w:lang w:val="en-US" w:eastAsia="zh-CN"/>
        </w:rPr>
        <w:t>3.</w:t>
      </w:r>
      <w:r>
        <w:rPr>
          <w:rFonts w:hint="eastAsia" w:ascii="仿宋" w:hAnsi="仿宋" w:eastAsia="仿宋"/>
          <w:color w:val="auto"/>
          <w:sz w:val="32"/>
          <w:szCs w:val="32"/>
        </w:rPr>
        <w:t>工程实践与毕业设计（论文）（至少占总学分的20%）。设置完善的实践教学体系，并与企业合作，开展实习、实训，培养学生的实践能力和创新能力。毕业设计（论文）选题要结合本专业的工程实际问题，培养学生的工程意识、协作精神以及综合应用所学知识解决实际问题的能力。对毕业设计（论文）的指导和考核有企业或行业专家参与。</w:t>
      </w:r>
    </w:p>
    <w:p w14:paraId="35A579E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olor w:val="auto"/>
          <w:sz w:val="32"/>
          <w:szCs w:val="32"/>
          <w:lang w:val="en-US" w:eastAsia="zh-CN"/>
        </w:rPr>
      </w:pPr>
      <w:r>
        <w:rPr>
          <w:rFonts w:hint="eastAsia" w:ascii="仿宋" w:hAnsi="仿宋" w:eastAsia="仿宋"/>
          <w:color w:val="auto"/>
          <w:sz w:val="32"/>
          <w:szCs w:val="32"/>
          <w:lang w:val="en-US" w:eastAsia="zh-CN"/>
        </w:rPr>
        <w:t>4.</w:t>
      </w:r>
      <w:r>
        <w:rPr>
          <w:rFonts w:hint="eastAsia" w:ascii="仿宋" w:hAnsi="仿宋" w:eastAsia="仿宋"/>
          <w:color w:val="auto"/>
          <w:sz w:val="32"/>
          <w:szCs w:val="32"/>
        </w:rPr>
        <w:t>人文社会科学类通识教育课程（至少占总学分的15%），使学生在从事工程设计时能够考虑经济、环境、法律、伦理等各种制约因素。</w:t>
      </w:r>
    </w:p>
    <w:p w14:paraId="0616645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黑体" w:hAnsi="黑体" w:eastAsia="黑体" w:cs="黑体"/>
          <w:b/>
          <w:color w:val="auto"/>
          <w:sz w:val="32"/>
          <w:szCs w:val="32"/>
        </w:rPr>
      </w:pPr>
      <w:r>
        <w:rPr>
          <w:rFonts w:hint="eastAsia" w:ascii="黑体" w:hAnsi="黑体" w:eastAsia="黑体" w:cs="黑体"/>
          <w:b/>
          <w:color w:val="auto"/>
          <w:sz w:val="32"/>
          <w:szCs w:val="32"/>
        </w:rPr>
        <w:t>三、《普通高等学校本科教育教学审核估指标体系（试行）》</w:t>
      </w:r>
    </w:p>
    <w:p w14:paraId="50E455E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b w:val="0"/>
          <w:bCs w:val="0"/>
          <w:color w:val="auto"/>
          <w:kern w:val="0"/>
          <w:sz w:val="32"/>
          <w:szCs w:val="32"/>
          <w:highlight w:val="none"/>
          <w:lang w:val="en-US" w:eastAsia="zh-CN"/>
        </w:rPr>
      </w:pPr>
      <w:r>
        <w:rPr>
          <w:rFonts w:hint="eastAsia" w:ascii="仿宋" w:hAnsi="仿宋" w:eastAsia="仿宋"/>
          <w:color w:val="auto"/>
          <w:kern w:val="0"/>
          <w:sz w:val="32"/>
          <w:szCs w:val="32"/>
          <w:highlight w:val="none"/>
        </w:rPr>
        <w:t>第二类审核评估针对高校的办学定位和办学历史不同，具体分为三种：一是适用于已参加过上轮审核评估，重点以学术型人才培养为主要方向的普通本科高校；二是适用于已参加过上轮审核评估，重点以应用型人才培养为主要方向的普通本科高校；三是适用于已通过合格评估5年以上，首次参加审核评估、本科办学历史较短的地方应用型普通本科高校。第二类审核评估重点考察高校本科人才培养目标定位、资源条件、培养过程、学生发展、</w:t>
      </w:r>
      <w:r>
        <w:rPr>
          <w:rFonts w:hint="eastAsia" w:ascii="仿宋" w:hAnsi="仿宋" w:eastAsia="仿宋"/>
          <w:b w:val="0"/>
          <w:bCs w:val="0"/>
          <w:color w:val="auto"/>
          <w:kern w:val="0"/>
          <w:sz w:val="32"/>
          <w:szCs w:val="32"/>
          <w:highlight w:val="none"/>
        </w:rPr>
        <w:t>教学成效等。我校参加</w:t>
      </w:r>
      <w:r>
        <w:rPr>
          <w:rFonts w:hint="eastAsia" w:ascii="仿宋" w:hAnsi="仿宋" w:eastAsia="仿宋"/>
          <w:b w:val="0"/>
          <w:bCs w:val="0"/>
          <w:color w:val="auto"/>
          <w:kern w:val="0"/>
          <w:sz w:val="32"/>
          <w:szCs w:val="32"/>
          <w:highlight w:val="none"/>
          <w:lang w:val="en-US" w:eastAsia="zh-CN"/>
        </w:rPr>
        <w:t>的是</w:t>
      </w:r>
      <w:r>
        <w:rPr>
          <w:rFonts w:hint="eastAsia" w:ascii="仿宋" w:hAnsi="仿宋" w:eastAsia="仿宋"/>
          <w:b w:val="0"/>
          <w:bCs w:val="0"/>
          <w:color w:val="auto"/>
          <w:kern w:val="0"/>
          <w:sz w:val="32"/>
          <w:szCs w:val="32"/>
          <w:highlight w:val="none"/>
        </w:rPr>
        <w:t>第二类审核评估第一种</w:t>
      </w:r>
      <w:r>
        <w:rPr>
          <w:rFonts w:hint="eastAsia" w:ascii="仿宋" w:hAnsi="仿宋" w:eastAsia="仿宋"/>
          <w:b w:val="0"/>
          <w:bCs w:val="0"/>
          <w:color w:val="auto"/>
          <w:kern w:val="0"/>
          <w:sz w:val="32"/>
          <w:szCs w:val="32"/>
          <w:highlight w:val="none"/>
          <w:lang w:eastAsia="zh-CN"/>
        </w:rPr>
        <w:t>。</w:t>
      </w:r>
      <w:r>
        <w:rPr>
          <w:rFonts w:hint="eastAsia" w:ascii="仿宋" w:hAnsi="仿宋" w:eastAsia="仿宋"/>
          <w:b w:val="0"/>
          <w:bCs w:val="0"/>
          <w:color w:val="auto"/>
          <w:kern w:val="0"/>
          <w:sz w:val="32"/>
          <w:szCs w:val="32"/>
          <w:highlight w:val="none"/>
          <w:lang w:val="en-US" w:eastAsia="zh-CN"/>
        </w:rPr>
        <w:t>具体详见表2。</w:t>
      </w:r>
    </w:p>
    <w:p w14:paraId="2BE0B2E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黑体" w:hAnsi="黑体" w:eastAsia="黑体" w:cs="黑体"/>
          <w:color w:val="auto"/>
          <w:sz w:val="24"/>
          <w:szCs w:val="24"/>
          <w:lang w:val="en-US" w:eastAsia="zh-CN"/>
        </w:rPr>
      </w:pPr>
      <w:r>
        <w:rPr>
          <w:rFonts w:hint="eastAsia" w:ascii="黑体" w:hAnsi="黑体" w:eastAsia="黑体" w:cs="黑体"/>
          <w:color w:val="auto"/>
          <w:sz w:val="24"/>
          <w:szCs w:val="24"/>
          <w:lang w:val="en-US" w:eastAsia="zh-CN"/>
        </w:rPr>
        <w:t>表2 《普通高等学校本科教育教学审核估指标体系（试行）》</w:t>
      </w:r>
    </w:p>
    <w:tbl>
      <w:tblPr>
        <w:tblStyle w:val="3"/>
        <w:tblW w:w="85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4"/>
        <w:gridCol w:w="1560"/>
        <w:gridCol w:w="917"/>
        <w:gridCol w:w="4894"/>
      </w:tblGrid>
      <w:tr w14:paraId="411CE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blHeader/>
          <w:jc w:val="center"/>
        </w:trPr>
        <w:tc>
          <w:tcPr>
            <w:tcW w:w="1204" w:type="dxa"/>
            <w:shd w:val="clear" w:color="auto" w:fill="auto"/>
            <w:vAlign w:val="center"/>
          </w:tcPr>
          <w:p w14:paraId="75E580F7">
            <w:pPr>
              <w:widowControl/>
              <w:spacing w:line="300" w:lineRule="exact"/>
              <w:jc w:val="center"/>
              <w:rPr>
                <w:rFonts w:ascii="Times New Roman" w:hAnsi="Times New Roman" w:eastAsia="黑体" w:cs="宋体"/>
                <w:color w:val="000000"/>
                <w:kern w:val="0"/>
                <w:szCs w:val="21"/>
              </w:rPr>
            </w:pPr>
            <w:r>
              <w:rPr>
                <w:rFonts w:hint="eastAsia" w:ascii="Times New Roman" w:hAnsi="Times New Roman" w:eastAsia="黑体" w:cs="宋体"/>
                <w:color w:val="000000"/>
                <w:kern w:val="0"/>
                <w:szCs w:val="21"/>
              </w:rPr>
              <w:t>一级指标</w:t>
            </w:r>
          </w:p>
        </w:tc>
        <w:tc>
          <w:tcPr>
            <w:tcW w:w="1560" w:type="dxa"/>
            <w:shd w:val="clear" w:color="auto" w:fill="auto"/>
            <w:vAlign w:val="center"/>
          </w:tcPr>
          <w:p w14:paraId="009181D7">
            <w:pPr>
              <w:widowControl/>
              <w:spacing w:line="300" w:lineRule="exact"/>
              <w:jc w:val="center"/>
              <w:rPr>
                <w:rFonts w:ascii="Times New Roman" w:hAnsi="Times New Roman" w:eastAsia="黑体" w:cs="宋体"/>
                <w:color w:val="000000"/>
                <w:kern w:val="0"/>
                <w:szCs w:val="21"/>
              </w:rPr>
            </w:pPr>
            <w:r>
              <w:rPr>
                <w:rFonts w:hint="eastAsia" w:ascii="Times New Roman" w:hAnsi="Times New Roman" w:eastAsia="黑体" w:cs="宋体"/>
                <w:color w:val="000000"/>
                <w:kern w:val="0"/>
                <w:szCs w:val="21"/>
              </w:rPr>
              <w:t>二级指标</w:t>
            </w:r>
          </w:p>
        </w:tc>
        <w:tc>
          <w:tcPr>
            <w:tcW w:w="5811" w:type="dxa"/>
            <w:gridSpan w:val="2"/>
            <w:shd w:val="clear" w:color="auto" w:fill="auto"/>
            <w:vAlign w:val="center"/>
          </w:tcPr>
          <w:p w14:paraId="692EBD31">
            <w:pPr>
              <w:widowControl/>
              <w:spacing w:line="300" w:lineRule="exact"/>
              <w:jc w:val="center"/>
              <w:rPr>
                <w:rFonts w:ascii="Times New Roman" w:hAnsi="Times New Roman" w:eastAsia="黑体" w:cs="宋体"/>
                <w:color w:val="000000"/>
                <w:kern w:val="0"/>
                <w:szCs w:val="21"/>
              </w:rPr>
            </w:pPr>
            <w:r>
              <w:rPr>
                <w:rFonts w:hint="eastAsia" w:ascii="Times New Roman" w:hAnsi="Times New Roman" w:eastAsia="黑体" w:cs="宋体"/>
                <w:color w:val="000000"/>
                <w:kern w:val="0"/>
                <w:szCs w:val="21"/>
              </w:rPr>
              <w:t>审核重点</w:t>
            </w:r>
          </w:p>
        </w:tc>
      </w:tr>
      <w:tr w14:paraId="63E70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204" w:type="dxa"/>
            <w:vMerge w:val="restart"/>
            <w:shd w:val="clear" w:color="auto" w:fill="auto"/>
            <w:vAlign w:val="center"/>
          </w:tcPr>
          <w:p w14:paraId="7B4601FA">
            <w:pPr>
              <w:spacing w:line="300" w:lineRule="exact"/>
              <w:jc w:val="center"/>
              <w:rPr>
                <w:rFonts w:ascii="Times New Roman" w:hAnsi="Times New Roman" w:cs="宋体"/>
                <w:color w:val="000000"/>
                <w:kern w:val="0"/>
                <w:szCs w:val="21"/>
              </w:rPr>
            </w:pPr>
            <w:r>
              <w:rPr>
                <w:rFonts w:hint="eastAsia" w:ascii="Times New Roman" w:hAnsi="Times New Roman" w:cs="宋体"/>
                <w:color w:val="000000"/>
                <w:kern w:val="0"/>
                <w:szCs w:val="21"/>
              </w:rPr>
              <w:t>2.培养过程</w:t>
            </w:r>
          </w:p>
        </w:tc>
        <w:tc>
          <w:tcPr>
            <w:tcW w:w="1560" w:type="dxa"/>
            <w:vMerge w:val="restart"/>
            <w:shd w:val="clear" w:color="auto" w:fill="auto"/>
            <w:vAlign w:val="center"/>
          </w:tcPr>
          <w:p w14:paraId="47C6C663">
            <w:pPr>
              <w:widowControl/>
              <w:spacing w:line="300" w:lineRule="exact"/>
              <w:jc w:val="center"/>
              <w:rPr>
                <w:rFonts w:ascii="Times New Roman" w:hAnsi="Times New Roman" w:cs="宋体"/>
                <w:color w:val="000000"/>
                <w:kern w:val="0"/>
                <w:szCs w:val="21"/>
              </w:rPr>
            </w:pPr>
            <w:r>
              <w:rPr>
                <w:rFonts w:hint="eastAsia" w:ascii="Times New Roman" w:hAnsi="Times New Roman" w:cs="宋体"/>
                <w:color w:val="000000"/>
                <w:kern w:val="0"/>
                <w:szCs w:val="21"/>
              </w:rPr>
              <w:t>2.1培养方案</w:t>
            </w:r>
          </w:p>
        </w:tc>
        <w:tc>
          <w:tcPr>
            <w:tcW w:w="5811" w:type="dxa"/>
            <w:gridSpan w:val="2"/>
            <w:shd w:val="clear" w:color="auto" w:fill="auto"/>
            <w:vAlign w:val="center"/>
          </w:tcPr>
          <w:p w14:paraId="2FB59377">
            <w:pPr>
              <w:widowControl/>
              <w:spacing w:line="300" w:lineRule="exact"/>
              <w:rPr>
                <w:rFonts w:ascii="Times New Roman" w:hAnsi="Times New Roman" w:cs="宋体"/>
                <w:color w:val="000000"/>
                <w:kern w:val="0"/>
                <w:szCs w:val="21"/>
              </w:rPr>
            </w:pPr>
            <w:r>
              <w:rPr>
                <w:rFonts w:hint="eastAsia" w:ascii="Times New Roman" w:hAnsi="Times New Roman" w:cs="宋体"/>
                <w:color w:val="000000"/>
                <w:kern w:val="0"/>
                <w:szCs w:val="21"/>
              </w:rPr>
              <w:t>2.1.1 培养目标符合学校定位、适应社会经济发展需要、体现学生德智体美劳全面发展情况</w:t>
            </w:r>
          </w:p>
        </w:tc>
      </w:tr>
      <w:tr w14:paraId="3E157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1204" w:type="dxa"/>
            <w:vMerge w:val="continue"/>
            <w:shd w:val="clear" w:color="auto" w:fill="auto"/>
            <w:vAlign w:val="center"/>
          </w:tcPr>
          <w:p w14:paraId="31AB74B5">
            <w:pPr>
              <w:spacing w:line="300" w:lineRule="exact"/>
              <w:jc w:val="center"/>
              <w:rPr>
                <w:rFonts w:ascii="Times New Roman" w:hAnsi="Times New Roman" w:cs="宋体"/>
                <w:color w:val="000000"/>
                <w:kern w:val="0"/>
                <w:szCs w:val="21"/>
              </w:rPr>
            </w:pPr>
          </w:p>
        </w:tc>
        <w:tc>
          <w:tcPr>
            <w:tcW w:w="1560" w:type="dxa"/>
            <w:vMerge w:val="continue"/>
            <w:shd w:val="clear" w:color="auto" w:fill="auto"/>
            <w:vAlign w:val="center"/>
          </w:tcPr>
          <w:p w14:paraId="19A904A5">
            <w:pPr>
              <w:widowControl/>
              <w:spacing w:line="300" w:lineRule="exact"/>
              <w:jc w:val="center"/>
              <w:rPr>
                <w:rFonts w:ascii="Times New Roman" w:hAnsi="Times New Roman" w:cs="宋体"/>
                <w:color w:val="000000"/>
                <w:kern w:val="0"/>
                <w:szCs w:val="21"/>
              </w:rPr>
            </w:pPr>
          </w:p>
        </w:tc>
        <w:tc>
          <w:tcPr>
            <w:tcW w:w="5811" w:type="dxa"/>
            <w:gridSpan w:val="2"/>
            <w:shd w:val="clear" w:color="auto" w:fill="auto"/>
            <w:vAlign w:val="center"/>
          </w:tcPr>
          <w:p w14:paraId="0423ECF6">
            <w:pPr>
              <w:spacing w:line="300" w:lineRule="exact"/>
              <w:rPr>
                <w:rFonts w:ascii="Times New Roman" w:hAnsi="Times New Roman" w:cs="宋体"/>
                <w:color w:val="000000"/>
                <w:kern w:val="0"/>
                <w:szCs w:val="21"/>
              </w:rPr>
            </w:pPr>
            <w:r>
              <w:rPr>
                <w:rFonts w:hint="eastAsia" w:ascii="Times New Roman" w:hAnsi="Times New Roman" w:cs="宋体"/>
                <w:color w:val="000000"/>
                <w:kern w:val="0"/>
                <w:szCs w:val="21"/>
              </w:rPr>
              <w:t>2</w:t>
            </w:r>
            <w:r>
              <w:rPr>
                <w:rFonts w:ascii="Times New Roman" w:hAnsi="Times New Roman" w:cs="宋体"/>
                <w:color w:val="000000"/>
                <w:kern w:val="0"/>
                <w:szCs w:val="21"/>
              </w:rPr>
              <w:t>.</w:t>
            </w:r>
            <w:r>
              <w:rPr>
                <w:rFonts w:hint="eastAsia" w:ascii="Times New Roman" w:hAnsi="Times New Roman" w:cs="宋体"/>
                <w:color w:val="000000"/>
                <w:kern w:val="0"/>
                <w:szCs w:val="21"/>
              </w:rPr>
              <w:t>1</w:t>
            </w:r>
            <w:r>
              <w:rPr>
                <w:rFonts w:ascii="Times New Roman" w:hAnsi="Times New Roman" w:cs="宋体"/>
                <w:color w:val="000000"/>
                <w:kern w:val="0"/>
                <w:szCs w:val="21"/>
              </w:rPr>
              <w:t>.</w:t>
            </w:r>
            <w:r>
              <w:rPr>
                <w:rFonts w:hint="eastAsia" w:ascii="Times New Roman" w:hAnsi="Times New Roman" w:cs="宋体"/>
                <w:color w:val="000000"/>
                <w:kern w:val="0"/>
                <w:szCs w:val="21"/>
              </w:rPr>
              <w:t>2 培养方案符合国家专业类标准、体现产出导向理念情况</w:t>
            </w:r>
          </w:p>
          <w:p w14:paraId="714643A0">
            <w:pPr>
              <w:widowControl/>
              <w:spacing w:line="300" w:lineRule="exact"/>
              <w:rPr>
                <w:rFonts w:ascii="Times New Roman" w:hAnsi="Times New Roman" w:cs="宋体"/>
                <w:kern w:val="0"/>
                <w:szCs w:val="21"/>
              </w:rPr>
            </w:pPr>
            <w:r>
              <w:rPr>
                <w:rFonts w:hint="eastAsia" w:ascii="Times New Roman" w:hAnsi="Times New Roman" w:cs="宋体"/>
                <w:kern w:val="0"/>
                <w:szCs w:val="21"/>
              </w:rPr>
              <w:t>【必选】学生毕业必须修满的公共艺术课程学分数≥2学分</w:t>
            </w:r>
          </w:p>
          <w:p w14:paraId="2F9D3C0D">
            <w:pPr>
              <w:widowControl/>
              <w:spacing w:line="300" w:lineRule="exact"/>
              <w:rPr>
                <w:rFonts w:ascii="Times New Roman" w:hAnsi="Times New Roman" w:cs="宋体"/>
                <w:kern w:val="0"/>
                <w:szCs w:val="21"/>
              </w:rPr>
            </w:pPr>
            <w:r>
              <w:rPr>
                <w:rFonts w:hint="eastAsia" w:ascii="Times New Roman" w:hAnsi="Times New Roman" w:cs="宋体"/>
                <w:kern w:val="0"/>
                <w:szCs w:val="21"/>
              </w:rPr>
              <w:t>【必选】劳动教育必修课或必修课程中劳动教育模块学时总数≥32学时</w:t>
            </w:r>
          </w:p>
        </w:tc>
      </w:tr>
      <w:tr w14:paraId="12495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 w:hRule="atLeast"/>
          <w:jc w:val="center"/>
        </w:trPr>
        <w:tc>
          <w:tcPr>
            <w:tcW w:w="1204" w:type="dxa"/>
            <w:vMerge w:val="continue"/>
            <w:shd w:val="clear" w:color="auto" w:fill="auto"/>
            <w:vAlign w:val="center"/>
          </w:tcPr>
          <w:p w14:paraId="58F5D2C0">
            <w:pPr>
              <w:spacing w:line="300" w:lineRule="exact"/>
              <w:jc w:val="center"/>
              <w:rPr>
                <w:rFonts w:ascii="Times New Roman" w:hAnsi="Times New Roman" w:cs="宋体"/>
                <w:color w:val="000000"/>
                <w:kern w:val="0"/>
                <w:szCs w:val="21"/>
              </w:rPr>
            </w:pPr>
          </w:p>
        </w:tc>
        <w:tc>
          <w:tcPr>
            <w:tcW w:w="1560" w:type="dxa"/>
            <w:vMerge w:val="continue"/>
            <w:shd w:val="clear" w:color="auto" w:fill="auto"/>
            <w:vAlign w:val="center"/>
          </w:tcPr>
          <w:p w14:paraId="69A2E28B">
            <w:pPr>
              <w:widowControl/>
              <w:spacing w:line="300" w:lineRule="exact"/>
              <w:jc w:val="center"/>
              <w:rPr>
                <w:rFonts w:ascii="Times New Roman" w:hAnsi="Times New Roman" w:cs="宋体"/>
                <w:color w:val="000000"/>
                <w:kern w:val="0"/>
                <w:szCs w:val="21"/>
              </w:rPr>
            </w:pPr>
          </w:p>
        </w:tc>
        <w:tc>
          <w:tcPr>
            <w:tcW w:w="917" w:type="dxa"/>
            <w:shd w:val="clear" w:color="auto" w:fill="auto"/>
            <w:vAlign w:val="center"/>
          </w:tcPr>
          <w:p w14:paraId="28D9E3B0">
            <w:pPr>
              <w:widowControl/>
              <w:spacing w:line="300" w:lineRule="exact"/>
              <w:rPr>
                <w:rFonts w:ascii="Times New Roman" w:hAnsi="Times New Roman" w:cs="宋体"/>
                <w:color w:val="000000"/>
                <w:kern w:val="0"/>
                <w:szCs w:val="21"/>
              </w:rPr>
            </w:pPr>
            <w:r>
              <w:rPr>
                <w:rFonts w:ascii="Times New Roman" w:hAnsi="Times New Roman" w:cs="宋体"/>
                <w:color w:val="000000"/>
                <w:kern w:val="0"/>
                <w:szCs w:val="21"/>
              </w:rPr>
              <w:t xml:space="preserve">B </w:t>
            </w:r>
            <w:r>
              <w:rPr>
                <w:rFonts w:hint="eastAsia" w:ascii="Times New Roman" w:hAnsi="Times New Roman" w:cs="宋体"/>
                <w:color w:val="000000"/>
                <w:kern w:val="0"/>
                <w:szCs w:val="21"/>
              </w:rPr>
              <w:t>2.1.</w:t>
            </w:r>
            <w:r>
              <w:rPr>
                <w:rFonts w:ascii="Times New Roman" w:hAnsi="Times New Roman" w:cs="宋体"/>
                <w:color w:val="000000"/>
                <w:kern w:val="0"/>
                <w:szCs w:val="21"/>
              </w:rPr>
              <w:t>3</w:t>
            </w:r>
          </w:p>
        </w:tc>
        <w:tc>
          <w:tcPr>
            <w:tcW w:w="4894" w:type="dxa"/>
            <w:shd w:val="clear" w:color="auto" w:fill="auto"/>
            <w:vAlign w:val="center"/>
          </w:tcPr>
          <w:p w14:paraId="4A008DB6">
            <w:pPr>
              <w:widowControl/>
              <w:spacing w:line="300" w:lineRule="exact"/>
              <w:rPr>
                <w:rFonts w:ascii="Times New Roman" w:hAnsi="Times New Roman" w:cs="宋体"/>
                <w:color w:val="000000"/>
                <w:kern w:val="0"/>
                <w:szCs w:val="21"/>
              </w:rPr>
            </w:pPr>
            <w:r>
              <w:rPr>
                <w:rFonts w:hint="eastAsia" w:ascii="Times New Roman" w:hAnsi="Times New Roman" w:cs="宋体"/>
                <w:color w:val="000000"/>
                <w:kern w:val="0"/>
                <w:szCs w:val="21"/>
              </w:rPr>
              <w:t>B1 培养方案强化理论基础、突出科教融合、注重培养学生创新能力情况</w:t>
            </w:r>
          </w:p>
        </w:tc>
      </w:tr>
      <w:tr w14:paraId="02BDA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1204" w:type="dxa"/>
            <w:vMerge w:val="continue"/>
            <w:shd w:val="clear" w:color="auto" w:fill="auto"/>
          </w:tcPr>
          <w:p w14:paraId="73838696">
            <w:pPr>
              <w:spacing w:line="300" w:lineRule="exact"/>
              <w:jc w:val="center"/>
              <w:rPr>
                <w:rFonts w:ascii="Times New Roman" w:hAnsi="Times New Roman" w:cs="宋体"/>
                <w:color w:val="000000"/>
                <w:kern w:val="0"/>
                <w:szCs w:val="21"/>
              </w:rPr>
            </w:pPr>
          </w:p>
        </w:tc>
        <w:tc>
          <w:tcPr>
            <w:tcW w:w="1560" w:type="dxa"/>
            <w:vMerge w:val="restart"/>
            <w:shd w:val="clear" w:color="auto" w:fill="auto"/>
            <w:vAlign w:val="center"/>
          </w:tcPr>
          <w:p w14:paraId="17CF15BE">
            <w:pPr>
              <w:widowControl/>
              <w:spacing w:line="300" w:lineRule="exact"/>
              <w:jc w:val="center"/>
              <w:rPr>
                <w:rFonts w:ascii="Times New Roman" w:hAnsi="Times New Roman" w:cs="宋体"/>
                <w:color w:val="000000"/>
                <w:kern w:val="0"/>
                <w:szCs w:val="21"/>
              </w:rPr>
            </w:pPr>
            <w:r>
              <w:rPr>
                <w:rFonts w:ascii="Times New Roman" w:hAnsi="Times New Roman" w:cs="宋体"/>
                <w:color w:val="000000"/>
                <w:kern w:val="0"/>
                <w:szCs w:val="21"/>
              </w:rPr>
              <w:t>2</w:t>
            </w:r>
            <w:r>
              <w:rPr>
                <w:rFonts w:hint="eastAsia" w:ascii="Times New Roman" w:hAnsi="Times New Roman" w:cs="宋体"/>
                <w:color w:val="000000"/>
                <w:kern w:val="0"/>
                <w:szCs w:val="21"/>
              </w:rPr>
              <w:t>.3实践教学</w:t>
            </w:r>
          </w:p>
        </w:tc>
        <w:tc>
          <w:tcPr>
            <w:tcW w:w="5811" w:type="dxa"/>
            <w:gridSpan w:val="2"/>
            <w:shd w:val="clear" w:color="auto" w:fill="auto"/>
            <w:vAlign w:val="center"/>
          </w:tcPr>
          <w:p w14:paraId="7E81C734">
            <w:pPr>
              <w:tabs>
                <w:tab w:val="left" w:pos="2257"/>
              </w:tabs>
              <w:spacing w:line="300" w:lineRule="exact"/>
              <w:rPr>
                <w:rFonts w:ascii="Times New Roman" w:hAnsi="Times New Roman" w:cs="宋体"/>
                <w:kern w:val="0"/>
                <w:szCs w:val="21"/>
              </w:rPr>
            </w:pPr>
            <w:r>
              <w:rPr>
                <w:rFonts w:hint="eastAsia" w:ascii="Times New Roman" w:hAnsi="Times New Roman" w:cs="宋体"/>
                <w:color w:val="000000"/>
                <w:kern w:val="0"/>
                <w:szCs w:val="21"/>
              </w:rPr>
              <w:t xml:space="preserve">2.3.1 </w:t>
            </w:r>
            <w:r>
              <w:rPr>
                <w:rFonts w:ascii="Times New Roman" w:hAnsi="Times New Roman" w:cs="宋体"/>
                <w:kern w:val="0"/>
                <w:szCs w:val="21"/>
              </w:rPr>
              <w:t>强化实践育人</w:t>
            </w:r>
            <w:r>
              <w:rPr>
                <w:rFonts w:hint="eastAsia" w:ascii="Times New Roman" w:hAnsi="Times New Roman" w:cs="宋体"/>
                <w:kern w:val="0"/>
                <w:szCs w:val="21"/>
              </w:rPr>
              <w:t>、</w:t>
            </w:r>
            <w:r>
              <w:rPr>
                <w:rFonts w:ascii="Times New Roman" w:hAnsi="Times New Roman" w:cs="宋体"/>
                <w:kern w:val="0"/>
                <w:szCs w:val="21"/>
              </w:rPr>
              <w:t>构建实践教学体系</w:t>
            </w:r>
            <w:r>
              <w:rPr>
                <w:rFonts w:hint="eastAsia" w:ascii="Times New Roman" w:hAnsi="Times New Roman" w:cs="宋体"/>
                <w:kern w:val="0"/>
                <w:szCs w:val="21"/>
              </w:rPr>
              <w:t>、</w:t>
            </w:r>
            <w:r>
              <w:rPr>
                <w:rFonts w:ascii="Times New Roman" w:hAnsi="Times New Roman" w:cs="宋体"/>
                <w:kern w:val="0"/>
                <w:szCs w:val="21"/>
              </w:rPr>
              <w:t>推动实践教学改革情况</w:t>
            </w:r>
          </w:p>
          <w:p w14:paraId="53C40409">
            <w:pPr>
              <w:widowControl/>
              <w:spacing w:line="300" w:lineRule="exact"/>
              <w:rPr>
                <w:rFonts w:ascii="Times New Roman" w:hAnsi="Times New Roman" w:cs="宋体"/>
                <w:color w:val="000000"/>
                <w:kern w:val="0"/>
                <w:szCs w:val="21"/>
              </w:rPr>
            </w:pPr>
            <w:r>
              <w:rPr>
                <w:rFonts w:hint="eastAsia" w:ascii="Times New Roman" w:hAnsi="Times New Roman" w:cs="宋体"/>
                <w:color w:val="000000"/>
                <w:kern w:val="0"/>
                <w:szCs w:val="21"/>
              </w:rPr>
              <w:t>【必选】实践教学学分占总学分（学时）比例（人文社科类专业≥15%，理工农医类专业≥25%）</w:t>
            </w:r>
          </w:p>
          <w:p w14:paraId="21DBA7B6">
            <w:pPr>
              <w:widowControl/>
              <w:spacing w:line="300" w:lineRule="exact"/>
              <w:rPr>
                <w:rFonts w:ascii="Times New Roman" w:hAnsi="Times New Roman" w:cs="宋体"/>
                <w:color w:val="000000"/>
                <w:kern w:val="0"/>
                <w:szCs w:val="21"/>
              </w:rPr>
            </w:pPr>
            <w:r>
              <w:rPr>
                <w:rFonts w:hint="eastAsia" w:ascii="Times New Roman" w:hAnsi="Times New Roman" w:cs="宋体"/>
                <w:color w:val="000000"/>
                <w:kern w:val="0"/>
                <w:szCs w:val="21"/>
              </w:rPr>
              <w:t>【必选】国家级、省级实践教学基地（包括实验教学示范中心、虚拟仿真实验中心、临床教学培训示范中心、工程实践基地、农科教合作人才培养基地等）数</w:t>
            </w:r>
          </w:p>
        </w:tc>
      </w:tr>
      <w:tr w14:paraId="408AF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04" w:type="dxa"/>
            <w:vMerge w:val="continue"/>
            <w:shd w:val="clear" w:color="auto" w:fill="auto"/>
          </w:tcPr>
          <w:p w14:paraId="41C1BCFC">
            <w:pPr>
              <w:spacing w:line="300" w:lineRule="exact"/>
              <w:jc w:val="center"/>
              <w:rPr>
                <w:rFonts w:ascii="Times New Roman" w:hAnsi="Times New Roman" w:cs="宋体"/>
                <w:color w:val="000000"/>
                <w:kern w:val="0"/>
                <w:szCs w:val="21"/>
              </w:rPr>
            </w:pPr>
          </w:p>
        </w:tc>
        <w:tc>
          <w:tcPr>
            <w:tcW w:w="1560" w:type="dxa"/>
            <w:vMerge w:val="continue"/>
            <w:shd w:val="clear" w:color="auto" w:fill="auto"/>
            <w:vAlign w:val="center"/>
          </w:tcPr>
          <w:p w14:paraId="407BE0C6">
            <w:pPr>
              <w:widowControl/>
              <w:spacing w:line="300" w:lineRule="exact"/>
              <w:jc w:val="center"/>
              <w:rPr>
                <w:rFonts w:ascii="Times New Roman" w:hAnsi="Times New Roman" w:cs="宋体"/>
                <w:color w:val="000000"/>
                <w:kern w:val="0"/>
                <w:szCs w:val="21"/>
              </w:rPr>
            </w:pPr>
          </w:p>
        </w:tc>
        <w:tc>
          <w:tcPr>
            <w:tcW w:w="917" w:type="dxa"/>
            <w:shd w:val="clear" w:color="auto" w:fill="auto"/>
            <w:vAlign w:val="center"/>
          </w:tcPr>
          <w:p w14:paraId="6B6AD283">
            <w:pPr>
              <w:tabs>
                <w:tab w:val="left" w:pos="2257"/>
              </w:tabs>
              <w:spacing w:line="300" w:lineRule="exact"/>
              <w:jc w:val="left"/>
              <w:rPr>
                <w:rFonts w:ascii="Times New Roman" w:hAnsi="Times New Roman" w:cs="宋体"/>
                <w:color w:val="000000"/>
                <w:kern w:val="0"/>
                <w:szCs w:val="21"/>
              </w:rPr>
            </w:pPr>
            <w:r>
              <w:rPr>
                <w:rFonts w:ascii="Times New Roman" w:hAnsi="Times New Roman" w:cs="宋体"/>
                <w:color w:val="000000"/>
                <w:kern w:val="0"/>
                <w:szCs w:val="21"/>
              </w:rPr>
              <w:t>B 2</w:t>
            </w:r>
            <w:r>
              <w:rPr>
                <w:rFonts w:hint="eastAsia" w:ascii="Times New Roman" w:hAnsi="Times New Roman" w:cs="宋体"/>
                <w:color w:val="000000"/>
                <w:kern w:val="0"/>
                <w:szCs w:val="21"/>
              </w:rPr>
              <w:t>.3.2</w:t>
            </w:r>
          </w:p>
        </w:tc>
        <w:tc>
          <w:tcPr>
            <w:tcW w:w="4894" w:type="dxa"/>
            <w:shd w:val="clear" w:color="auto" w:fill="auto"/>
          </w:tcPr>
          <w:p w14:paraId="7C1AC979">
            <w:pPr>
              <w:widowControl/>
              <w:spacing w:line="300" w:lineRule="exact"/>
              <w:rPr>
                <w:rFonts w:ascii="Times New Roman" w:hAnsi="Times New Roman" w:cs="宋体"/>
                <w:color w:val="000000"/>
                <w:kern w:val="0"/>
                <w:szCs w:val="21"/>
              </w:rPr>
            </w:pPr>
            <w:r>
              <w:rPr>
                <w:rFonts w:ascii="Times New Roman" w:hAnsi="Times New Roman" w:cs="宋体"/>
                <w:color w:val="000000"/>
                <w:kern w:val="0"/>
                <w:szCs w:val="21"/>
              </w:rPr>
              <w:t xml:space="preserve">B1 </w:t>
            </w:r>
            <w:r>
              <w:rPr>
                <w:rFonts w:hint="eastAsia" w:ascii="Times New Roman" w:hAnsi="Times New Roman" w:cs="宋体"/>
                <w:color w:val="000000"/>
                <w:kern w:val="0"/>
                <w:szCs w:val="21"/>
              </w:rPr>
              <w:t>学校与科研院所、企业共建科研实践、实习实训基地情况</w:t>
            </w:r>
          </w:p>
          <w:p w14:paraId="2AB017BA">
            <w:pPr>
              <w:widowControl/>
              <w:spacing w:line="300" w:lineRule="exact"/>
              <w:rPr>
                <w:rFonts w:ascii="Times New Roman" w:hAnsi="Times New Roman" w:eastAsia="PMingLiU" w:cs="宋体"/>
                <w:color w:val="FF0000"/>
                <w:kern w:val="0"/>
                <w:szCs w:val="21"/>
                <w:lang w:eastAsia="zh-TW"/>
              </w:rPr>
            </w:pPr>
            <w:r>
              <w:rPr>
                <w:rFonts w:hint="eastAsia" w:ascii="Times New Roman" w:hAnsi="Times New Roman" w:cs="宋体"/>
                <w:kern w:val="0"/>
                <w:szCs w:val="21"/>
                <w:lang w:eastAsia="zh-TW"/>
              </w:rPr>
              <w:t>【可选】与行业企业共建的实验教学中心数</w:t>
            </w:r>
          </w:p>
        </w:tc>
      </w:tr>
      <w:tr w14:paraId="489E4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1204" w:type="dxa"/>
            <w:vMerge w:val="continue"/>
            <w:shd w:val="clear" w:color="auto" w:fill="auto"/>
          </w:tcPr>
          <w:p w14:paraId="2C6DBFC8">
            <w:pPr>
              <w:spacing w:line="300" w:lineRule="exact"/>
              <w:jc w:val="center"/>
              <w:rPr>
                <w:rFonts w:ascii="Times New Roman" w:hAnsi="Times New Roman" w:cs="宋体"/>
                <w:color w:val="000000"/>
                <w:kern w:val="0"/>
                <w:szCs w:val="21"/>
              </w:rPr>
            </w:pPr>
          </w:p>
        </w:tc>
        <w:tc>
          <w:tcPr>
            <w:tcW w:w="1560" w:type="dxa"/>
            <w:vMerge w:val="continue"/>
            <w:shd w:val="clear" w:color="auto" w:fill="auto"/>
            <w:vAlign w:val="center"/>
          </w:tcPr>
          <w:p w14:paraId="096327B6">
            <w:pPr>
              <w:widowControl/>
              <w:spacing w:line="300" w:lineRule="exact"/>
              <w:jc w:val="center"/>
              <w:rPr>
                <w:rFonts w:ascii="Times New Roman" w:hAnsi="Times New Roman" w:cs="宋体"/>
                <w:color w:val="000000"/>
                <w:kern w:val="0"/>
                <w:szCs w:val="21"/>
              </w:rPr>
            </w:pPr>
          </w:p>
        </w:tc>
        <w:tc>
          <w:tcPr>
            <w:tcW w:w="917" w:type="dxa"/>
            <w:shd w:val="clear" w:color="auto" w:fill="auto"/>
            <w:vAlign w:val="center"/>
          </w:tcPr>
          <w:p w14:paraId="3BF7329B">
            <w:pPr>
              <w:tabs>
                <w:tab w:val="left" w:pos="2257"/>
              </w:tabs>
              <w:spacing w:line="300" w:lineRule="exact"/>
              <w:jc w:val="left"/>
              <w:rPr>
                <w:rFonts w:ascii="Times New Roman" w:hAnsi="Times New Roman" w:cs="宋体"/>
                <w:color w:val="000000"/>
                <w:kern w:val="0"/>
                <w:szCs w:val="21"/>
              </w:rPr>
            </w:pPr>
            <w:r>
              <w:rPr>
                <w:rFonts w:ascii="Times New Roman" w:hAnsi="Times New Roman" w:cs="宋体"/>
                <w:color w:val="000000"/>
                <w:kern w:val="0"/>
                <w:szCs w:val="21"/>
              </w:rPr>
              <w:t>B 2</w:t>
            </w:r>
            <w:r>
              <w:rPr>
                <w:rFonts w:hint="eastAsia" w:ascii="Times New Roman" w:hAnsi="Times New Roman" w:cs="宋体"/>
                <w:color w:val="000000"/>
                <w:kern w:val="0"/>
                <w:szCs w:val="21"/>
              </w:rPr>
              <w:t>.3.3</w:t>
            </w:r>
          </w:p>
        </w:tc>
        <w:tc>
          <w:tcPr>
            <w:tcW w:w="4894" w:type="dxa"/>
            <w:shd w:val="clear" w:color="auto" w:fill="auto"/>
          </w:tcPr>
          <w:p w14:paraId="155D34B6">
            <w:pPr>
              <w:widowControl/>
              <w:spacing w:line="300" w:lineRule="exact"/>
              <w:rPr>
                <w:rFonts w:ascii="Times New Roman" w:hAnsi="Times New Roman" w:cs="宋体"/>
                <w:color w:val="000000"/>
                <w:kern w:val="0"/>
                <w:szCs w:val="21"/>
              </w:rPr>
            </w:pPr>
            <w:r>
              <w:rPr>
                <w:rFonts w:ascii="Times New Roman" w:hAnsi="Times New Roman" w:cs="宋体"/>
                <w:color w:val="000000"/>
                <w:kern w:val="0"/>
                <w:szCs w:val="21"/>
              </w:rPr>
              <w:t xml:space="preserve">B1 </w:t>
            </w:r>
            <w:r>
              <w:rPr>
                <w:rFonts w:hint="eastAsia" w:ascii="Times New Roman" w:hAnsi="Times New Roman" w:cs="宋体"/>
                <w:color w:val="000000"/>
                <w:kern w:val="0"/>
                <w:szCs w:val="21"/>
              </w:rPr>
              <w:t>毕业论文（</w:t>
            </w:r>
            <w:r>
              <w:rPr>
                <w:rFonts w:ascii="Times New Roman" w:hAnsi="Times New Roman" w:cs="宋体"/>
                <w:color w:val="000000"/>
                <w:kern w:val="0"/>
                <w:szCs w:val="21"/>
              </w:rPr>
              <w:t>设计</w:t>
            </w:r>
            <w:r>
              <w:rPr>
                <w:rFonts w:hint="eastAsia" w:ascii="Times New Roman" w:hAnsi="Times New Roman" w:cs="宋体"/>
                <w:color w:val="000000"/>
                <w:kern w:val="0"/>
                <w:szCs w:val="21"/>
              </w:rPr>
              <w:t>）选题来自教师专业实践、科研课题情况及完成质量</w:t>
            </w:r>
          </w:p>
          <w:p w14:paraId="33BBD9C6">
            <w:pPr>
              <w:widowControl/>
              <w:spacing w:line="300" w:lineRule="exact"/>
              <w:rPr>
                <w:rFonts w:ascii="Times New Roman" w:hAnsi="Times New Roman" w:cs="宋体"/>
                <w:color w:val="000000"/>
                <w:kern w:val="0"/>
                <w:szCs w:val="21"/>
              </w:rPr>
            </w:pPr>
            <w:r>
              <w:rPr>
                <w:rFonts w:hint="eastAsia" w:ascii="Times New Roman" w:hAnsi="Times New Roman" w:cs="宋体"/>
                <w:color w:val="000000"/>
                <w:kern w:val="0"/>
                <w:szCs w:val="21"/>
              </w:rPr>
              <w:t>【必选】以实验、实习、工程实践和社会调查等实践性工作为基础的毕业论文（</w:t>
            </w:r>
            <w:r>
              <w:rPr>
                <w:rFonts w:hint="eastAsia" w:ascii="Times New Roman" w:hAnsi="Times New Roman" w:cs="Times New Roman"/>
                <w:szCs w:val="21"/>
              </w:rPr>
              <w:t>设计</w:t>
            </w:r>
            <w:r>
              <w:rPr>
                <w:rFonts w:hint="eastAsia" w:ascii="Times New Roman" w:hAnsi="Times New Roman" w:cs="宋体"/>
                <w:color w:val="000000"/>
                <w:kern w:val="0"/>
                <w:szCs w:val="21"/>
              </w:rPr>
              <w:t>）比例≥50%</w:t>
            </w:r>
          </w:p>
        </w:tc>
      </w:tr>
    </w:tbl>
    <w:p w14:paraId="3FB04C4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422E5E7-D7DE-45D8-8404-98B71E50D69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embedRegular r:id="rId2" w:fontKey="{0A920341-DABE-413A-BB83-70CED0D5092F}"/>
  </w:font>
  <w:font w:name="方正小标宋简体">
    <w:panose1 w:val="02010601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embedRegular r:id="rId3" w:fontKey="{A17BA910-A885-4228-BB62-72F1105113B0}"/>
  </w:font>
  <w:font w:name="仿宋">
    <w:panose1 w:val="02010609060101010101"/>
    <w:charset w:val="86"/>
    <w:family w:val="modern"/>
    <w:pitch w:val="default"/>
    <w:sig w:usb0="800002BF" w:usb1="38CF7CFA" w:usb2="00000016" w:usb3="00000000" w:csb0="00040001" w:csb1="00000000"/>
    <w:embedRegular r:id="rId4" w:fontKey="{B30BA1B2-98E1-441F-9074-F8D35394F649}"/>
  </w:font>
  <w:font w:name="PMingLiU">
    <w:panose1 w:val="02020500000000000000"/>
    <w:charset w:val="88"/>
    <w:family w:val="auto"/>
    <w:pitch w:val="default"/>
    <w:sig w:usb0="A00002FF" w:usb1="28CFFCFA" w:usb2="00000016" w:usb3="00000000" w:csb0="00100001" w:csb1="00000000"/>
    <w:embedRegular r:id="rId5" w:fontKey="{05C10D20-C80D-41DA-A13C-4F1C6B16A01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BC48BC"/>
    <w:rsid w:val="101149FE"/>
    <w:rsid w:val="1D192221"/>
    <w:rsid w:val="24795B48"/>
    <w:rsid w:val="34D86A8E"/>
    <w:rsid w:val="35BC3B7F"/>
    <w:rsid w:val="3A5B46D2"/>
    <w:rsid w:val="5DC420E0"/>
    <w:rsid w:val="60A0620B"/>
    <w:rsid w:val="681F260A"/>
    <w:rsid w:val="6A2251B9"/>
    <w:rsid w:val="6FAC27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1822</Words>
  <Characters>1900</Characters>
  <Lines>0</Lines>
  <Paragraphs>0</Paragraphs>
  <TotalTime>36</TotalTime>
  <ScaleCrop>false</ScaleCrop>
  <LinksUpToDate>false</LinksUpToDate>
  <CharactersWithSpaces>1911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2025-03-27T15:01:00Z</dcterms:created>
  <dc:creator>Administrator</dc:creator>
  <cp:lastModifiedBy>后海不是海</cp:lastModifiedBy>
  <dcterms:modified xsi:type="dcterms:W3CDTF">2025-05-16T03:46:41Z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eyJoZGlkIjoiZGUzNzQ1YzE4YTI2MTc1OGZmZjNhN2IxYzdjZDg4ODYiLCJ1c2VySWQiOiIyNjIyMzQyOTIifQ==</vt:lpwstr>
  </property>
  <property fmtid="{D5CDD505-2E9C-101B-9397-08002B2CF9AE}" pid="4" name="ICV">
    <vt:lpwstr>CBDAE4BE5C9C4E7BBE07912CDD16DB25_13</vt:lpwstr>
  </property>
</Properties>
</file>